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9CF20BD" w:rsidR="00DD3D9E" w:rsidRDefault="005C33E0" w:rsidP="005C33E0">
      <w:pPr>
        <w:pStyle w:val="PSEAuthorList"/>
        <w:spacing w:after="120"/>
        <w:jc w:val="both"/>
        <w:rPr>
          <w:rFonts w:ascii="Times New Roman" w:hAnsi="Times New Roman" w:cs="Times New Roman"/>
          <w:color w:val="auto"/>
          <w:sz w:val="28"/>
          <w:szCs w:val="28"/>
          <w:lang w:val="en-US"/>
        </w:rPr>
      </w:pPr>
      <w:r w:rsidRPr="00FA372E">
        <w:rPr>
          <w:rFonts w:ascii="Times New Roman" w:hAnsi="Times New Roman" w:cs="Times New Roman"/>
          <w:color w:val="auto"/>
          <w:sz w:val="28"/>
          <w:szCs w:val="28"/>
          <w:lang w:val="en-US"/>
        </w:rPr>
        <w:t xml:space="preserve">Modeling </w:t>
      </w:r>
      <w:r>
        <w:rPr>
          <w:rFonts w:ascii="Times New Roman" w:hAnsi="Times New Roman" w:cs="Times New Roman"/>
          <w:color w:val="auto"/>
          <w:sz w:val="28"/>
          <w:szCs w:val="28"/>
          <w:lang w:val="en-US"/>
        </w:rPr>
        <w:t xml:space="preserve">of </w:t>
      </w:r>
      <w:r w:rsidRPr="00FA372E">
        <w:rPr>
          <w:rFonts w:ascii="Times New Roman" w:hAnsi="Times New Roman" w:cs="Times New Roman"/>
          <w:color w:val="auto"/>
          <w:sz w:val="28"/>
          <w:szCs w:val="28"/>
          <w:lang w:val="en-US"/>
        </w:rPr>
        <w:t xml:space="preserve">the dynamic </w:t>
      </w:r>
      <w:proofErr w:type="spellStart"/>
      <w:r w:rsidRPr="00FA372E">
        <w:rPr>
          <w:rFonts w:ascii="Times New Roman" w:hAnsi="Times New Roman" w:cs="Times New Roman"/>
          <w:color w:val="auto"/>
          <w:sz w:val="28"/>
          <w:szCs w:val="28"/>
          <w:lang w:val="en-US"/>
        </w:rPr>
        <w:t>behaviour</w:t>
      </w:r>
      <w:proofErr w:type="spellEnd"/>
      <w:r w:rsidRPr="00FA372E">
        <w:rPr>
          <w:rFonts w:ascii="Times New Roman" w:hAnsi="Times New Roman" w:cs="Times New Roman"/>
          <w:color w:val="auto"/>
          <w:sz w:val="28"/>
          <w:szCs w:val="28"/>
          <w:lang w:val="en-US"/>
        </w:rPr>
        <w:t xml:space="preserve"> of Fischer-</w:t>
      </w:r>
      <w:proofErr w:type="spellStart"/>
      <w:r w:rsidRPr="00FA372E">
        <w:rPr>
          <w:rFonts w:ascii="Times New Roman" w:hAnsi="Times New Roman" w:cs="Times New Roman"/>
          <w:color w:val="auto"/>
          <w:sz w:val="28"/>
          <w:szCs w:val="28"/>
          <w:lang w:val="en-US"/>
        </w:rPr>
        <w:t>Tropsch</w:t>
      </w:r>
      <w:proofErr w:type="spellEnd"/>
      <w:r w:rsidRPr="00FA372E">
        <w:rPr>
          <w:rFonts w:ascii="Times New Roman" w:hAnsi="Times New Roman" w:cs="Times New Roman"/>
          <w:color w:val="auto"/>
          <w:sz w:val="28"/>
          <w:szCs w:val="28"/>
          <w:lang w:val="en-US"/>
        </w:rPr>
        <w:t xml:space="preserve"> fixed-bed reactors: a </w:t>
      </w:r>
      <w:proofErr w:type="spellStart"/>
      <w:r w:rsidRPr="00FA372E">
        <w:rPr>
          <w:rFonts w:ascii="Times New Roman" w:hAnsi="Times New Roman" w:cs="Times New Roman"/>
          <w:color w:val="auto"/>
          <w:sz w:val="28"/>
          <w:szCs w:val="28"/>
          <w:lang w:val="en-US"/>
        </w:rPr>
        <w:t>pseudohomogeneous</w:t>
      </w:r>
      <w:proofErr w:type="spellEnd"/>
      <w:r w:rsidRPr="00FA372E">
        <w:rPr>
          <w:rFonts w:ascii="Times New Roman" w:hAnsi="Times New Roman" w:cs="Times New Roman"/>
          <w:color w:val="auto"/>
          <w:sz w:val="28"/>
          <w:szCs w:val="28"/>
          <w:lang w:val="en-US"/>
        </w:rPr>
        <w:t xml:space="preserve"> approach</w:t>
      </w:r>
    </w:p>
    <w:p w14:paraId="6A27B7AB" w14:textId="5BE3251B" w:rsidR="005C6297" w:rsidRPr="005F027A" w:rsidRDefault="005C6297" w:rsidP="00D02205">
      <w:pPr>
        <w:pStyle w:val="PSEAuthorList"/>
        <w:spacing w:before="0" w:after="60"/>
        <w:jc w:val="both"/>
        <w:rPr>
          <w:rFonts w:ascii="Times New Roman" w:hAnsi="Times New Roman" w:cs="Times New Roman"/>
          <w:b w:val="0"/>
          <w:color w:val="auto"/>
          <w:sz w:val="22"/>
          <w:szCs w:val="22"/>
          <w:lang w:val="pt-BR"/>
        </w:rPr>
      </w:pPr>
      <w:r w:rsidRPr="005C6297">
        <w:rPr>
          <w:rFonts w:ascii="Times New Roman" w:hAnsi="Times New Roman" w:cs="Times New Roman"/>
          <w:b w:val="0"/>
          <w:color w:val="auto"/>
          <w:sz w:val="22"/>
          <w:szCs w:val="22"/>
          <w:lang w:val="pt-BR"/>
        </w:rPr>
        <w:t xml:space="preserve">Egydio Terziotti </w:t>
      </w:r>
      <w:proofErr w:type="spellStart"/>
      <w:proofErr w:type="gramStart"/>
      <w:r w:rsidRPr="005C6297">
        <w:rPr>
          <w:rFonts w:ascii="Times New Roman" w:hAnsi="Times New Roman" w:cs="Times New Roman"/>
          <w:b w:val="0"/>
          <w:color w:val="auto"/>
          <w:sz w:val="22"/>
          <w:szCs w:val="22"/>
          <w:lang w:val="pt-BR"/>
        </w:rPr>
        <w:t>Neto,</w:t>
      </w:r>
      <w:r w:rsidRPr="005C6297">
        <w:rPr>
          <w:rFonts w:ascii="Times New Roman" w:hAnsi="Times New Roman" w:cs="Times New Roman"/>
          <w:b w:val="0"/>
          <w:color w:val="auto"/>
          <w:sz w:val="22"/>
          <w:szCs w:val="22"/>
          <w:vertAlign w:val="superscript"/>
          <w:lang w:val="pt-BR"/>
        </w:rPr>
        <w:t>a</w:t>
      </w:r>
      <w:proofErr w:type="spellEnd"/>
      <w:proofErr w:type="gramEnd"/>
      <w:r w:rsidRPr="005C6297">
        <w:rPr>
          <w:rFonts w:ascii="Times New Roman" w:hAnsi="Times New Roman" w:cs="Times New Roman"/>
          <w:b w:val="0"/>
          <w:color w:val="auto"/>
          <w:sz w:val="22"/>
          <w:szCs w:val="22"/>
          <w:vertAlign w:val="superscript"/>
          <w:lang w:val="pt-BR"/>
        </w:rPr>
        <w:t xml:space="preserve"> </w:t>
      </w:r>
      <w:r w:rsidR="00D02205">
        <w:rPr>
          <w:rFonts w:ascii="Times New Roman" w:hAnsi="Times New Roman" w:cs="Times New Roman"/>
          <w:b w:val="0"/>
          <w:color w:val="auto"/>
          <w:sz w:val="22"/>
          <w:szCs w:val="22"/>
          <w:vertAlign w:val="superscript"/>
          <w:lang w:val="pt-BR"/>
        </w:rPr>
        <w:t xml:space="preserve"> </w:t>
      </w:r>
      <w:r>
        <w:rPr>
          <w:rFonts w:ascii="Times New Roman" w:hAnsi="Times New Roman" w:cs="Times New Roman"/>
          <w:b w:val="0"/>
          <w:color w:val="auto"/>
          <w:sz w:val="22"/>
          <w:szCs w:val="22"/>
          <w:lang w:val="pt-BR"/>
        </w:rPr>
        <w:t xml:space="preserve">Rita M. B. </w:t>
      </w:r>
      <w:proofErr w:type="spellStart"/>
      <w:r>
        <w:rPr>
          <w:rFonts w:ascii="Times New Roman" w:hAnsi="Times New Roman" w:cs="Times New Roman"/>
          <w:b w:val="0"/>
          <w:color w:val="auto"/>
          <w:sz w:val="22"/>
          <w:szCs w:val="22"/>
          <w:lang w:val="pt-BR"/>
        </w:rPr>
        <w:t>Alves,</w:t>
      </w:r>
      <w:r w:rsidR="00D02205">
        <w:rPr>
          <w:rFonts w:ascii="Times New Roman" w:hAnsi="Times New Roman" w:cs="Times New Roman"/>
          <w:b w:val="0"/>
          <w:color w:val="auto"/>
          <w:sz w:val="22"/>
          <w:szCs w:val="22"/>
          <w:vertAlign w:val="superscript"/>
          <w:lang w:val="pt-BR"/>
        </w:rPr>
        <w:t>a</w:t>
      </w:r>
      <w:proofErr w:type="spellEnd"/>
      <w:r w:rsidR="00D02205">
        <w:rPr>
          <w:rFonts w:ascii="Times New Roman" w:hAnsi="Times New Roman" w:cs="Times New Roman"/>
          <w:b w:val="0"/>
          <w:color w:val="auto"/>
          <w:sz w:val="22"/>
          <w:szCs w:val="22"/>
          <w:lang w:val="pt-BR"/>
        </w:rPr>
        <w:t xml:space="preserve">  Reinaldo </w:t>
      </w:r>
      <w:proofErr w:type="spellStart"/>
      <w:r w:rsidR="00D02205">
        <w:rPr>
          <w:rFonts w:ascii="Times New Roman" w:hAnsi="Times New Roman" w:cs="Times New Roman"/>
          <w:b w:val="0"/>
          <w:color w:val="auto"/>
          <w:sz w:val="22"/>
          <w:szCs w:val="22"/>
          <w:lang w:val="pt-BR"/>
        </w:rPr>
        <w:t>Giudici</w:t>
      </w:r>
      <w:r w:rsidR="00D02205">
        <w:rPr>
          <w:rFonts w:ascii="Times New Roman" w:hAnsi="Times New Roman" w:cs="Times New Roman"/>
          <w:b w:val="0"/>
          <w:color w:val="auto"/>
          <w:sz w:val="22"/>
          <w:szCs w:val="22"/>
          <w:vertAlign w:val="superscript"/>
          <w:lang w:val="pt-BR"/>
        </w:rPr>
        <w:t>a</w:t>
      </w:r>
      <w:proofErr w:type="spellEnd"/>
      <w:r w:rsidR="005F027A">
        <w:rPr>
          <w:rFonts w:ascii="Times New Roman" w:hAnsi="Times New Roman" w:cs="Times New Roman"/>
          <w:b w:val="0"/>
          <w:color w:val="auto"/>
          <w:sz w:val="22"/>
          <w:szCs w:val="22"/>
          <w:lang w:val="pt-BR"/>
        </w:rPr>
        <w:t>*</w:t>
      </w:r>
    </w:p>
    <w:p w14:paraId="424A62BF" w14:textId="16CEB928" w:rsidR="002919A1" w:rsidRDefault="002919A1" w:rsidP="002919A1">
      <w:pPr>
        <w:pStyle w:val="PSEAuthorAffiliation"/>
        <w:spacing w:before="0"/>
        <w:rPr>
          <w:rFonts w:ascii="Times New Roman" w:hAnsi="Times New Roman" w:cs="Times New Roman"/>
          <w:i/>
          <w:color w:val="auto"/>
          <w:sz w:val="20"/>
          <w:szCs w:val="20"/>
          <w:lang w:val="pt-BR"/>
        </w:rPr>
      </w:pPr>
      <w:proofErr w:type="spellStart"/>
      <w:r w:rsidRPr="002919A1">
        <w:rPr>
          <w:rFonts w:ascii="Times New Roman" w:hAnsi="Times New Roman" w:cs="Times New Roman"/>
          <w:i/>
          <w:color w:val="auto"/>
          <w:sz w:val="20"/>
          <w:szCs w:val="20"/>
          <w:vertAlign w:val="superscript"/>
          <w:lang w:val="pt-BR"/>
        </w:rPr>
        <w:t>a</w:t>
      </w:r>
      <w:r w:rsidRPr="002919A1">
        <w:rPr>
          <w:rFonts w:ascii="Times New Roman" w:hAnsi="Times New Roman" w:cs="Times New Roman"/>
          <w:i/>
          <w:color w:val="auto"/>
          <w:sz w:val="20"/>
          <w:szCs w:val="20"/>
          <w:lang w:val="pt-BR"/>
        </w:rPr>
        <w:t>Universidade</w:t>
      </w:r>
      <w:proofErr w:type="spellEnd"/>
      <w:r w:rsidRPr="002919A1">
        <w:rPr>
          <w:rFonts w:ascii="Times New Roman" w:hAnsi="Times New Roman" w:cs="Times New Roman"/>
          <w:i/>
          <w:color w:val="auto"/>
          <w:sz w:val="20"/>
          <w:szCs w:val="20"/>
          <w:lang w:val="pt-BR"/>
        </w:rPr>
        <w:t xml:space="preserve"> de São Paulo, Escola Politécnica, </w:t>
      </w:r>
      <w:proofErr w:type="spellStart"/>
      <w:r w:rsidRPr="002919A1">
        <w:rPr>
          <w:rFonts w:ascii="Times New Roman" w:hAnsi="Times New Roman" w:cs="Times New Roman"/>
          <w:i/>
          <w:color w:val="auto"/>
          <w:sz w:val="20"/>
          <w:szCs w:val="20"/>
          <w:lang w:val="pt-BR"/>
        </w:rPr>
        <w:t>Department</w:t>
      </w:r>
      <w:proofErr w:type="spellEnd"/>
      <w:r w:rsidRPr="002919A1">
        <w:rPr>
          <w:rFonts w:ascii="Times New Roman" w:hAnsi="Times New Roman" w:cs="Times New Roman"/>
          <w:i/>
          <w:color w:val="auto"/>
          <w:sz w:val="20"/>
          <w:szCs w:val="20"/>
          <w:lang w:val="pt-BR"/>
        </w:rPr>
        <w:t xml:space="preserve"> </w:t>
      </w:r>
      <w:proofErr w:type="spellStart"/>
      <w:r w:rsidRPr="002919A1">
        <w:rPr>
          <w:rFonts w:ascii="Times New Roman" w:hAnsi="Times New Roman" w:cs="Times New Roman"/>
          <w:i/>
          <w:color w:val="auto"/>
          <w:sz w:val="20"/>
          <w:szCs w:val="20"/>
          <w:lang w:val="pt-BR"/>
        </w:rPr>
        <w:t>of</w:t>
      </w:r>
      <w:proofErr w:type="spellEnd"/>
      <w:r w:rsidRPr="002919A1">
        <w:rPr>
          <w:rFonts w:ascii="Times New Roman" w:hAnsi="Times New Roman" w:cs="Times New Roman"/>
          <w:i/>
          <w:color w:val="auto"/>
          <w:sz w:val="20"/>
          <w:szCs w:val="20"/>
          <w:lang w:val="pt-BR"/>
        </w:rPr>
        <w:t xml:space="preserve"> Chemical </w:t>
      </w:r>
      <w:proofErr w:type="spellStart"/>
      <w:r w:rsidRPr="002919A1">
        <w:rPr>
          <w:rFonts w:ascii="Times New Roman" w:hAnsi="Times New Roman" w:cs="Times New Roman"/>
          <w:i/>
          <w:color w:val="auto"/>
          <w:sz w:val="20"/>
          <w:szCs w:val="20"/>
          <w:lang w:val="pt-BR"/>
        </w:rPr>
        <w:t>Engineering</w:t>
      </w:r>
      <w:proofErr w:type="spellEnd"/>
      <w:r w:rsidRPr="002919A1">
        <w:rPr>
          <w:rFonts w:ascii="Times New Roman" w:hAnsi="Times New Roman" w:cs="Times New Roman"/>
          <w:i/>
          <w:color w:val="auto"/>
          <w:sz w:val="20"/>
          <w:szCs w:val="20"/>
          <w:lang w:val="pt-BR"/>
        </w:rPr>
        <w:t xml:space="preserve">, São Paulo, São Paulo, </w:t>
      </w:r>
      <w:proofErr w:type="spellStart"/>
      <w:r w:rsidRPr="002919A1">
        <w:rPr>
          <w:rFonts w:ascii="Times New Roman" w:hAnsi="Times New Roman" w:cs="Times New Roman"/>
          <w:i/>
          <w:color w:val="auto"/>
          <w:sz w:val="20"/>
          <w:szCs w:val="20"/>
          <w:lang w:val="pt-BR"/>
        </w:rPr>
        <w:t>Brazil</w:t>
      </w:r>
      <w:proofErr w:type="spellEnd"/>
    </w:p>
    <w:p w14:paraId="13A1F5EC" w14:textId="04F74645" w:rsidR="002919A1" w:rsidRPr="004A6819" w:rsidRDefault="00DC54A2" w:rsidP="00402998">
      <w:pPr>
        <w:pStyle w:val="PSEAuthorAffiliation"/>
        <w:spacing w:before="0" w:after="120"/>
        <w:rPr>
          <w:rFonts w:ascii="Times New Roman" w:hAnsi="Times New Roman" w:cs="Times New Roman"/>
          <w:i/>
          <w:color w:val="auto"/>
          <w:sz w:val="20"/>
          <w:szCs w:val="20"/>
          <w:lang w:val="en-US"/>
        </w:rPr>
      </w:pPr>
      <w:r w:rsidRPr="004A6819">
        <w:rPr>
          <w:rFonts w:ascii="Times New Roman" w:hAnsi="Times New Roman" w:cs="Times New Roman"/>
          <w:i/>
          <w:color w:val="auto"/>
          <w:sz w:val="20"/>
          <w:szCs w:val="20"/>
          <w:lang w:val="en-US"/>
        </w:rPr>
        <w:t>*</w:t>
      </w:r>
      <w:r w:rsidR="002919A1" w:rsidRPr="004A6819">
        <w:rPr>
          <w:rFonts w:ascii="Times New Roman" w:hAnsi="Times New Roman" w:cs="Times New Roman"/>
          <w:i/>
          <w:color w:val="auto"/>
          <w:sz w:val="20"/>
          <w:szCs w:val="20"/>
          <w:lang w:val="en-US"/>
        </w:rPr>
        <w:t>rgiudici@usp.br</w:t>
      </w:r>
    </w:p>
    <w:p w14:paraId="144DE684" w14:textId="77777777" w:rsidR="008D2649" w:rsidRDefault="008D2649" w:rsidP="008D2649">
      <w:pPr>
        <w:pStyle w:val="Els-Abstract"/>
      </w:pPr>
      <w:r>
        <w:t>Abstract</w:t>
      </w:r>
    </w:p>
    <w:p w14:paraId="28AB0AE6" w14:textId="73F38DCA" w:rsidR="00EC7577" w:rsidRDefault="00EC7577" w:rsidP="00EC7577">
      <w:pPr>
        <w:pStyle w:val="Els-body-text"/>
        <w:spacing w:after="120"/>
        <w:rPr>
          <w:lang w:val="en-GB"/>
        </w:rPr>
      </w:pPr>
      <w:r w:rsidRPr="00EC7577">
        <w:rPr>
          <w:lang w:val="en-GB"/>
        </w:rPr>
        <w:t xml:space="preserve">This work aims to model and evaluate the dynamic </w:t>
      </w:r>
      <w:r w:rsidR="00265682" w:rsidRPr="00EC7577">
        <w:rPr>
          <w:lang w:val="en-GB"/>
        </w:rPr>
        <w:t>behaviour</w:t>
      </w:r>
      <w:r w:rsidRPr="00EC7577">
        <w:rPr>
          <w:lang w:val="en-GB"/>
        </w:rPr>
        <w:t xml:space="preserve"> of a conceptual reactor for Fischer-</w:t>
      </w:r>
      <w:proofErr w:type="spellStart"/>
      <w:r w:rsidRPr="00EC7577">
        <w:rPr>
          <w:lang w:val="en-GB"/>
        </w:rPr>
        <w:t>Tropsch</w:t>
      </w:r>
      <w:proofErr w:type="spellEnd"/>
      <w:r w:rsidRPr="00EC7577">
        <w:rPr>
          <w:lang w:val="en-GB"/>
        </w:rPr>
        <w:t xml:space="preserve"> synthesis based on a first principle model using classical mass and energy conservation equations. The system was designed to produce hydrocarbons within the commercial fuel ranges such as gasoline and aviation diesel. The model was coded in Aspen Custom Modeler® v12 and component properties as well as the Soave-Redlich-</w:t>
      </w:r>
      <w:proofErr w:type="spellStart"/>
      <w:r w:rsidRPr="00EC7577">
        <w:rPr>
          <w:lang w:val="en-GB"/>
        </w:rPr>
        <w:t>Kwong</w:t>
      </w:r>
      <w:proofErr w:type="spellEnd"/>
      <w:r w:rsidRPr="00EC7577">
        <w:rPr>
          <w:lang w:val="en-GB"/>
        </w:rPr>
        <w:t xml:space="preserve"> equation of state were embedded in the model through the connection with Aspen Properties® v12 software</w:t>
      </w:r>
      <w:r w:rsidR="00265682">
        <w:rPr>
          <w:lang w:val="en-GB"/>
        </w:rPr>
        <w:t xml:space="preserve"> or by direct implementation of literature correlations</w:t>
      </w:r>
      <w:r w:rsidRPr="00EC7577">
        <w:rPr>
          <w:lang w:val="en-GB"/>
        </w:rPr>
        <w:t xml:space="preserve">. Upon achieving a stable numerical solution for different operating conditions, a sensitivity analysis was conducted by varying the flow rate, temperature, and composition at the system’s inlet in order to evaluate the impact of these variables on the dynamic </w:t>
      </w:r>
      <w:r w:rsidR="00265682" w:rsidRPr="00EC7577">
        <w:rPr>
          <w:lang w:val="en-GB"/>
        </w:rPr>
        <w:t>behaviour</w:t>
      </w:r>
      <w:r w:rsidRPr="00EC7577">
        <w:rPr>
          <w:lang w:val="en-GB"/>
        </w:rPr>
        <w:t xml:space="preserve"> of the reactor and the yield of hydrocarbons in the desired range. It was observed that the system reaches steady state within short times, of approximately one minute for most tested cases. Furthermore, it was noted that, among all evaluated scenarios, a slight increase in the system temperature would allow for a CO conversion of 8</w:t>
      </w:r>
      <w:r w:rsidR="001A22F9">
        <w:rPr>
          <w:lang w:val="en-GB"/>
        </w:rPr>
        <w:t>4</w:t>
      </w:r>
      <w:r w:rsidRPr="00EC7577">
        <w:rPr>
          <w:lang w:val="en-GB"/>
        </w:rPr>
        <w:t>.</w:t>
      </w:r>
      <w:r w:rsidR="001A22F9">
        <w:rPr>
          <w:lang w:val="en-GB"/>
        </w:rPr>
        <w:t>22</w:t>
      </w:r>
      <w:r w:rsidRPr="00EC7577">
        <w:rPr>
          <w:lang w:val="en-GB"/>
        </w:rPr>
        <w:t>% (higher than the 72.</w:t>
      </w:r>
      <w:r w:rsidR="001A22F9">
        <w:rPr>
          <w:lang w:val="en-GB"/>
        </w:rPr>
        <w:t>87</w:t>
      </w:r>
      <w:r w:rsidRPr="00EC7577">
        <w:rPr>
          <w:lang w:val="en-GB"/>
        </w:rPr>
        <w:t>% in the base case) with 4</w:t>
      </w:r>
      <w:r w:rsidR="001A22F9">
        <w:rPr>
          <w:lang w:val="en-GB"/>
        </w:rPr>
        <w:t>8.25</w:t>
      </w:r>
      <w:r w:rsidRPr="00EC7577">
        <w:rPr>
          <w:lang w:val="en-GB"/>
        </w:rPr>
        <w:t>% selectivity for hydrocarbons in the C2-C7 range and 2</w:t>
      </w:r>
      <w:r w:rsidR="001A22F9">
        <w:rPr>
          <w:lang w:val="en-GB"/>
        </w:rPr>
        <w:t>4</w:t>
      </w:r>
      <w:r w:rsidRPr="00EC7577">
        <w:rPr>
          <w:lang w:val="en-GB"/>
        </w:rPr>
        <w:t>.</w:t>
      </w:r>
      <w:r w:rsidR="001A22F9">
        <w:rPr>
          <w:lang w:val="en-GB"/>
        </w:rPr>
        <w:t>27</w:t>
      </w:r>
      <w:r w:rsidRPr="00EC7577">
        <w:rPr>
          <w:lang w:val="en-GB"/>
        </w:rPr>
        <w:t>% in the C8-C16 range, which could then be blended in order to produce commercial fuels.</w:t>
      </w:r>
    </w:p>
    <w:p w14:paraId="144DE687" w14:textId="7B656046" w:rsidR="008D2649" w:rsidRDefault="008D2649" w:rsidP="008D2649">
      <w:pPr>
        <w:pStyle w:val="Els-body-text"/>
        <w:spacing w:after="120"/>
        <w:rPr>
          <w:lang w:val="en-GB"/>
        </w:rPr>
      </w:pPr>
      <w:r>
        <w:rPr>
          <w:b/>
          <w:bCs/>
          <w:lang w:val="en-GB"/>
        </w:rPr>
        <w:t>Keywords</w:t>
      </w:r>
      <w:r>
        <w:rPr>
          <w:lang w:val="en-GB"/>
        </w:rPr>
        <w:t xml:space="preserve">: </w:t>
      </w:r>
      <w:r w:rsidR="00D7489C">
        <w:rPr>
          <w:lang w:val="en-GB"/>
        </w:rPr>
        <w:t>Fischer-</w:t>
      </w:r>
      <w:proofErr w:type="spellStart"/>
      <w:r w:rsidR="00D7489C">
        <w:rPr>
          <w:lang w:val="en-GB"/>
        </w:rPr>
        <w:t>Tropsch</w:t>
      </w:r>
      <w:proofErr w:type="spellEnd"/>
      <w:r w:rsidR="00D7489C">
        <w:rPr>
          <w:lang w:val="en-GB"/>
        </w:rPr>
        <w:t xml:space="preserve">, Fixed-bed, Mathematical </w:t>
      </w:r>
      <w:proofErr w:type="spellStart"/>
      <w:r w:rsidR="00922F93">
        <w:rPr>
          <w:lang w:val="en-GB"/>
        </w:rPr>
        <w:t>M</w:t>
      </w:r>
      <w:r w:rsidR="00D7489C">
        <w:rPr>
          <w:lang w:val="en-GB"/>
        </w:rPr>
        <w:t>odeling</w:t>
      </w:r>
      <w:proofErr w:type="spellEnd"/>
      <w:r w:rsidR="00D7489C">
        <w:rPr>
          <w:lang w:val="en-GB"/>
        </w:rPr>
        <w:t xml:space="preserve">, </w:t>
      </w:r>
      <w:r w:rsidR="00922F93">
        <w:rPr>
          <w:lang w:val="en-GB"/>
        </w:rPr>
        <w:t>Biofuels, Dynamic Model</w:t>
      </w:r>
    </w:p>
    <w:p w14:paraId="144DE689" w14:textId="7D63E06A" w:rsidR="008D2649" w:rsidRDefault="00173EEB" w:rsidP="008D2649">
      <w:pPr>
        <w:pStyle w:val="Els-1storder-head"/>
      </w:pPr>
      <w:r>
        <w:t>Introduction</w:t>
      </w:r>
    </w:p>
    <w:p w14:paraId="1DDF1945" w14:textId="01532096" w:rsidR="000C3C1C" w:rsidRDefault="00B34550" w:rsidP="00E101CD">
      <w:pPr>
        <w:pStyle w:val="Els-body-text"/>
      </w:pPr>
      <w:r>
        <w:t xml:space="preserve">Despite </w:t>
      </w:r>
      <w:r w:rsidR="00A518F4">
        <w:t>extensive</w:t>
      </w:r>
      <w:r>
        <w:t xml:space="preserve"> efforts to diminish </w:t>
      </w:r>
      <w:r w:rsidR="00EC33C4">
        <w:t xml:space="preserve">greenhouse gases </w:t>
      </w:r>
      <w:r w:rsidR="007F27AD">
        <w:t>emissions</w:t>
      </w:r>
      <w:r w:rsidR="00EC33C4">
        <w:t xml:space="preserve">, global demand for </w:t>
      </w:r>
      <w:r w:rsidR="00F6574F">
        <w:t>petroleum</w:t>
      </w:r>
      <w:r w:rsidR="00EC33C4">
        <w:t xml:space="preserve"> continues to rise. </w:t>
      </w:r>
      <w:r w:rsidR="00A518F4">
        <w:t xml:space="preserve">For instance, </w:t>
      </w:r>
      <w:r w:rsidR="00B87F31">
        <w:t>in</w:t>
      </w:r>
      <w:r w:rsidR="00106811">
        <w:t xml:space="preserve"> </w:t>
      </w:r>
      <w:r w:rsidR="00331C23">
        <w:t>2017,</w:t>
      </w:r>
      <w:r w:rsidR="00106811">
        <w:t xml:space="preserve"> </w:t>
      </w:r>
      <w:r w:rsidR="00A518F4">
        <w:t>daily production</w:t>
      </w:r>
      <w:r w:rsidR="00AE2EC6">
        <w:t xml:space="preserve"> exceeded</w:t>
      </w:r>
      <w:r w:rsidR="00AF407E">
        <w:t xml:space="preserve"> </w:t>
      </w:r>
      <w:r w:rsidR="00331C23">
        <w:t>90 million barrels</w:t>
      </w:r>
      <w:r w:rsidR="000732CE">
        <w:t xml:space="preserve">, from which 85% were used to manufacture different </w:t>
      </w:r>
      <w:r w:rsidR="004347A8">
        <w:t>fuels</w:t>
      </w:r>
      <w:r w:rsidR="00AE2EC6">
        <w:t xml:space="preserve"> types</w:t>
      </w:r>
      <w:r w:rsidR="001F3C43">
        <w:t xml:space="preserve"> accountable for emitting</w:t>
      </w:r>
      <w:r w:rsidR="00EA01DD">
        <w:t xml:space="preserve"> not only carbon dioxid</w:t>
      </w:r>
      <w:r w:rsidR="00106811">
        <w:t>e</w:t>
      </w:r>
      <w:r w:rsidR="000B459F">
        <w:t xml:space="preserve">, but also sulfur based </w:t>
      </w:r>
      <w:r w:rsidR="006B3340">
        <w:t>and oxygenated organic compounds</w:t>
      </w:r>
      <w:r w:rsidR="00126E30">
        <w:t xml:space="preserve"> (</w:t>
      </w:r>
      <w:proofErr w:type="spellStart"/>
      <w:r w:rsidR="00984819">
        <w:t>Mahmoudi</w:t>
      </w:r>
      <w:proofErr w:type="spellEnd"/>
      <w:r w:rsidR="00126E30">
        <w:t xml:space="preserve"> et al., 2017)</w:t>
      </w:r>
      <w:r w:rsidR="004347A8">
        <w:t xml:space="preserve">. </w:t>
      </w:r>
      <w:r w:rsidR="001F3C43">
        <w:t>Within this</w:t>
      </w:r>
      <w:r w:rsidR="00760EA5">
        <w:t xml:space="preserve"> scenario, the Fischer-</w:t>
      </w:r>
      <w:proofErr w:type="spellStart"/>
      <w:r w:rsidR="00760EA5">
        <w:t>Tropsch</w:t>
      </w:r>
      <w:proofErr w:type="spellEnd"/>
      <w:r w:rsidR="00760EA5">
        <w:t xml:space="preserve"> </w:t>
      </w:r>
      <w:r w:rsidR="00421058">
        <w:t xml:space="preserve">(FT) </w:t>
      </w:r>
      <w:r w:rsidR="00760EA5">
        <w:t xml:space="preserve">process </w:t>
      </w:r>
      <w:r w:rsidR="00C503A8">
        <w:t>emerges as</w:t>
      </w:r>
      <w:r w:rsidR="00760EA5">
        <w:t xml:space="preserve"> a technology </w:t>
      </w:r>
      <w:r w:rsidR="00165309">
        <w:t xml:space="preserve">not </w:t>
      </w:r>
      <w:r w:rsidR="00C503A8">
        <w:t>only</w:t>
      </w:r>
      <w:r w:rsidR="00165309">
        <w:t xml:space="preserve"> prove</w:t>
      </w:r>
      <w:r w:rsidR="00C503A8">
        <w:t>n</w:t>
      </w:r>
      <w:r w:rsidR="00165309">
        <w:t xml:space="preserve"> </w:t>
      </w:r>
      <w:r w:rsidR="00760EA5">
        <w:t xml:space="preserve">to </w:t>
      </w:r>
      <w:r w:rsidR="00C503A8">
        <w:t xml:space="preserve">efficiently </w:t>
      </w:r>
      <w:r w:rsidR="00760EA5">
        <w:t>convert greenhouse gases (CO</w:t>
      </w:r>
      <w:r w:rsidR="00760EA5">
        <w:rPr>
          <w:vertAlign w:val="subscript"/>
        </w:rPr>
        <w:t>2</w:t>
      </w:r>
      <w:r w:rsidR="00760EA5">
        <w:t xml:space="preserve"> or CO) </w:t>
      </w:r>
      <w:r w:rsidR="00E83626">
        <w:t xml:space="preserve">into usable fuels, but it </w:t>
      </w:r>
      <w:r w:rsidR="00165309">
        <w:t>is already</w:t>
      </w:r>
      <w:r w:rsidR="00E83626">
        <w:t xml:space="preserve"> implemented in industrial scale</w:t>
      </w:r>
      <w:r w:rsidR="00377035">
        <w:t xml:space="preserve">. </w:t>
      </w:r>
      <w:r w:rsidR="00C503A8">
        <w:t>S</w:t>
      </w:r>
      <w:r w:rsidR="00377035">
        <w:t xml:space="preserve">uch </w:t>
      </w:r>
      <w:r w:rsidR="002E5DA3">
        <w:t>technology</w:t>
      </w:r>
      <w:r w:rsidR="005E04A2">
        <w:t xml:space="preserve"> makes</w:t>
      </w:r>
      <w:r w:rsidR="002E5DA3">
        <w:t xml:space="preserve"> it is possible to </w:t>
      </w:r>
      <w:r w:rsidR="005E04A2">
        <w:t>synthesize</w:t>
      </w:r>
      <w:r w:rsidR="002E5DA3">
        <w:t xml:space="preserve"> a wide range of hydrocarbons </w:t>
      </w:r>
      <w:r w:rsidR="005E04A2">
        <w:t>suitable for</w:t>
      </w:r>
      <w:r w:rsidR="00752D95">
        <w:t xml:space="preserve"> blend</w:t>
      </w:r>
      <w:r w:rsidR="005E04A2">
        <w:t>ing</w:t>
      </w:r>
      <w:r w:rsidR="00752D95">
        <w:t xml:space="preserve"> into</w:t>
      </w:r>
      <w:r w:rsidR="002E5DA3">
        <w:t xml:space="preserve"> gasoline</w:t>
      </w:r>
      <w:r w:rsidR="0097071D">
        <w:t xml:space="preserve"> and</w:t>
      </w:r>
      <w:r w:rsidR="00752D95">
        <w:t>/or</w:t>
      </w:r>
      <w:r w:rsidR="002E5DA3">
        <w:t xml:space="preserve"> </w:t>
      </w:r>
      <w:r w:rsidR="0097071D">
        <w:t>sustainable aviation fuels (SAFs)</w:t>
      </w:r>
      <w:r w:rsidR="006E1789">
        <w:t xml:space="preserve"> </w:t>
      </w:r>
      <w:r w:rsidR="00AD347D">
        <w:t>(Méndez et al., 2017)</w:t>
      </w:r>
      <w:r w:rsidR="0097071D">
        <w:t xml:space="preserve">. However, it is worth noting </w:t>
      </w:r>
      <w:r w:rsidR="00421058">
        <w:t xml:space="preserve">that, in spite of </w:t>
      </w:r>
      <w:r w:rsidR="00752D95">
        <w:t>the</w:t>
      </w:r>
      <w:r w:rsidR="00421058">
        <w:t xml:space="preserve"> great benefits FT</w:t>
      </w:r>
      <w:r w:rsidR="008678F9">
        <w:t xml:space="preserve"> reaction</w:t>
      </w:r>
      <w:r w:rsidR="00421058">
        <w:t xml:space="preserve"> </w:t>
      </w:r>
      <w:r w:rsidR="00152DBE">
        <w:t>is able to provide</w:t>
      </w:r>
      <w:r w:rsidR="002B725D">
        <w:t xml:space="preserve">, </w:t>
      </w:r>
      <w:r w:rsidR="00AD01F5" w:rsidRPr="005B6FDE">
        <w:t>it</w:t>
      </w:r>
      <w:r w:rsidR="00AD01F5">
        <w:t xml:space="preserve"> also faces </w:t>
      </w:r>
      <w:r w:rsidR="00AD01F5" w:rsidRPr="005B6FDE">
        <w:t xml:space="preserve">several </w:t>
      </w:r>
      <w:r w:rsidR="00AD01F5">
        <w:t xml:space="preserve">obstacles, such as unknown </w:t>
      </w:r>
      <w:r w:rsidR="00AD01F5" w:rsidRPr="005B6FDE">
        <w:t>kinetic</w:t>
      </w:r>
      <w:r w:rsidR="00AD01F5">
        <w:t xml:space="preserve"> mechanisms</w:t>
      </w:r>
      <w:r w:rsidR="00AD01F5" w:rsidRPr="005B6FDE">
        <w:t xml:space="preserve">, unpredictable nature of product distribution and the </w:t>
      </w:r>
      <w:r w:rsidR="00AD01F5">
        <w:t>high reaction exothermicity</w:t>
      </w:r>
      <w:r w:rsidR="00136199">
        <w:t>, which can lead to the formation of hot-stops in the reaction system</w:t>
      </w:r>
      <w:r w:rsidR="00AD01F5">
        <w:t xml:space="preserve">. </w:t>
      </w:r>
    </w:p>
    <w:p w14:paraId="5A530488" w14:textId="2ED1C32B" w:rsidR="000B4C16" w:rsidRDefault="00464B2A" w:rsidP="008D2649">
      <w:pPr>
        <w:pStyle w:val="Els-body-text"/>
      </w:pPr>
      <w:r>
        <w:t xml:space="preserve">As a result of the </w:t>
      </w:r>
      <w:r w:rsidR="00B92F79">
        <w:t>above-mentioned</w:t>
      </w:r>
      <w:r>
        <w:t xml:space="preserve"> drawbacks, </w:t>
      </w:r>
      <w:r w:rsidR="000C252D">
        <w:t>it is thus imperative that the process available technologies are</w:t>
      </w:r>
      <w:r w:rsidR="000269A8">
        <w:t xml:space="preserve"> refined</w:t>
      </w:r>
      <w:r w:rsidR="000C252D">
        <w:t xml:space="preserve">, in </w:t>
      </w:r>
      <w:r w:rsidR="004233D2">
        <w:t>a</w:t>
      </w:r>
      <w:r w:rsidR="008E34FB">
        <w:t>n effort to facilitate its implementation on a larger scale</w:t>
      </w:r>
      <w:r w:rsidR="00893802">
        <w:t xml:space="preserve"> and to avoid operational problems</w:t>
      </w:r>
      <w:r w:rsidR="008E34FB">
        <w:t xml:space="preserve">. </w:t>
      </w:r>
      <w:r w:rsidR="00D07EC8">
        <w:t xml:space="preserve">Mathematical models are </w:t>
      </w:r>
      <w:r w:rsidR="00B1162A">
        <w:t>a</w:t>
      </w:r>
      <w:r w:rsidR="00D07EC8">
        <w:t xml:space="preserve"> useful tool</w:t>
      </w:r>
      <w:r w:rsidR="00B1162A">
        <w:t xml:space="preserve"> due to its </w:t>
      </w:r>
      <w:r w:rsidR="00B1162A">
        <w:lastRenderedPageBreak/>
        <w:t xml:space="preserve">capacity of </w:t>
      </w:r>
      <w:r w:rsidR="009F1C54">
        <w:t>describing</w:t>
      </w:r>
      <w:r w:rsidR="00893802">
        <w:t>,</w:t>
      </w:r>
      <w:r w:rsidR="009F1C54">
        <w:t xml:space="preserve"> through constitutive equations</w:t>
      </w:r>
      <w:r w:rsidR="00893802">
        <w:t>,</w:t>
      </w:r>
      <w:r w:rsidR="00B1162A">
        <w:t xml:space="preserve"> the characteristic phenomena </w:t>
      </w:r>
      <w:r w:rsidR="009F1C54">
        <w:t>occurring in a given system</w:t>
      </w:r>
      <w:r w:rsidR="004B4664">
        <w:t xml:space="preserve">, allowing a deep understanding </w:t>
      </w:r>
      <w:r w:rsidR="00207E0E">
        <w:t xml:space="preserve">of its </w:t>
      </w:r>
      <w:r w:rsidR="00AC35C2">
        <w:t>performance</w:t>
      </w:r>
      <w:r w:rsidR="00207E0E">
        <w:t xml:space="preserve"> </w:t>
      </w:r>
      <w:r w:rsidR="00A27F94">
        <w:t>and also makes room for optimization studies</w:t>
      </w:r>
      <w:r w:rsidR="006B2FDD">
        <w:t xml:space="preserve">. </w:t>
      </w:r>
      <w:bookmarkStart w:id="0" w:name="_Hlk153356142"/>
      <w:r w:rsidR="006B2FDD">
        <w:t>Nevertheless, few studies have been published regarding the dynamics of a FT reactor</w:t>
      </w:r>
      <w:r w:rsidR="00800ED2">
        <w:t xml:space="preserve"> (</w:t>
      </w:r>
      <w:proofErr w:type="spellStart"/>
      <w:r w:rsidR="00800ED2">
        <w:t>Sauerhöfer</w:t>
      </w:r>
      <w:proofErr w:type="spellEnd"/>
      <w:r w:rsidR="00800ED2">
        <w:t>-Rodrigo et al., 2023)</w:t>
      </w:r>
      <w:r w:rsidR="009F1C54">
        <w:t xml:space="preserve">. </w:t>
      </w:r>
      <w:r w:rsidR="006B2FDD">
        <w:t xml:space="preserve">To fill this gap, the present study focuses </w:t>
      </w:r>
      <w:r w:rsidR="00AC35C2">
        <w:t xml:space="preserve">on modeling the dynamic behavior of a fixed-bed FT reactor </w:t>
      </w:r>
      <w:r w:rsidR="00BE735C">
        <w:t xml:space="preserve">by means of </w:t>
      </w:r>
      <w:r w:rsidR="00FE3FD4">
        <w:t>a</w:t>
      </w:r>
      <w:r w:rsidR="00BE735C">
        <w:t xml:space="preserve"> one-dimensional </w:t>
      </w:r>
      <w:proofErr w:type="spellStart"/>
      <w:r w:rsidR="00BE735C">
        <w:t>pseudohomogeneous</w:t>
      </w:r>
      <w:proofErr w:type="spellEnd"/>
      <w:r w:rsidR="00BE735C">
        <w:t xml:space="preserve"> approach</w:t>
      </w:r>
      <w:r w:rsidR="00FE3FD4">
        <w:t xml:space="preserve"> </w:t>
      </w:r>
      <w:r w:rsidR="009E12AC">
        <w:t xml:space="preserve">in </w:t>
      </w:r>
      <w:r w:rsidR="001C0331">
        <w:t>different operating conditions.</w:t>
      </w:r>
      <w:bookmarkEnd w:id="0"/>
      <w:r w:rsidR="001C0331">
        <w:t xml:space="preserve"> </w:t>
      </w:r>
      <w:r w:rsidR="00E70503" w:rsidRPr="00E70503">
        <w:t>Additionally, the proposed model incorporates several enhancements.</w:t>
      </w:r>
      <w:r w:rsidR="009017CA">
        <w:t xml:space="preserve"> The proposed model incorporates enhancements, such as: 1. Using the Soave-Redlich-</w:t>
      </w:r>
      <w:proofErr w:type="spellStart"/>
      <w:r w:rsidR="009017CA">
        <w:t>Kwong</w:t>
      </w:r>
      <w:proofErr w:type="spellEnd"/>
      <w:r w:rsidR="009017CA">
        <w:t xml:space="preserve"> Equation of State to represent the system non-idealities; 2. The model encompasses 42 different substances, with their properties directly computed from Aspen Properties® interface</w:t>
      </w:r>
      <w:r w:rsidR="00E70503">
        <w:t>.</w:t>
      </w:r>
      <w:r w:rsidR="009017CA">
        <w:t xml:space="preserve"> This modeling strategy not only enhances the realism of the reactor’s behavior but also facilitates the computation of the properties involved.</w:t>
      </w:r>
      <w:r w:rsidR="00E70503">
        <w:t xml:space="preserve"> </w:t>
      </w:r>
      <w:bookmarkStart w:id="1" w:name="_Hlk153358536"/>
      <w:r w:rsidR="009017CA">
        <w:tab/>
        <w:t>The</w:t>
      </w:r>
      <w:r w:rsidR="001C0331">
        <w:t xml:space="preserve"> sensitivity analysis was</w:t>
      </w:r>
      <w:r w:rsidR="00893802">
        <w:t xml:space="preserve"> conducted</w:t>
      </w:r>
      <w:r w:rsidR="001C0331">
        <w:t xml:space="preserve"> to evaluate the effects of</w:t>
      </w:r>
      <w:r w:rsidR="00A56B88">
        <w:t xml:space="preserve"> inlet composition</w:t>
      </w:r>
      <w:r w:rsidR="001C0331">
        <w:t>, temperature and molar flow-rate</w:t>
      </w:r>
      <w:r w:rsidR="00981EE8">
        <w:t xml:space="preserve"> according to</w:t>
      </w:r>
      <w:r w:rsidR="00285AED">
        <w:t xml:space="preserve"> available</w:t>
      </w:r>
      <w:r w:rsidR="009017CA">
        <w:t xml:space="preserve"> literature data, which reflects the industrial operating conditions of such reactors </w:t>
      </w:r>
      <w:r w:rsidR="00285AED">
        <w:t>(Espinoza et al., 1999</w:t>
      </w:r>
      <w:r w:rsidR="009017CA">
        <w:t xml:space="preserve">; Lee </w:t>
      </w:r>
      <w:r w:rsidR="00CF40C0">
        <w:t>&amp;</w:t>
      </w:r>
      <w:r w:rsidR="009017CA">
        <w:t xml:space="preserve"> Chung, 2012; Jess </w:t>
      </w:r>
      <w:r w:rsidR="00CF40C0">
        <w:t>&amp;</w:t>
      </w:r>
      <w:r w:rsidR="009017CA">
        <w:t xml:space="preserve"> Kern, 2009</w:t>
      </w:r>
      <w:r w:rsidR="00285AED">
        <w:t>)</w:t>
      </w:r>
      <w:r w:rsidR="001C0331">
        <w:t>.</w:t>
      </w:r>
      <w:bookmarkEnd w:id="1"/>
      <w:r w:rsidR="009017CA">
        <w:t xml:space="preserve"> </w:t>
      </w:r>
      <w:r w:rsidR="001C0331">
        <w:t xml:space="preserve">The results </w:t>
      </w:r>
      <w:r w:rsidR="00893802">
        <w:t>underscored</w:t>
      </w:r>
      <w:r w:rsidR="001C0331">
        <w:t xml:space="preserve"> </w:t>
      </w:r>
      <w:r w:rsidR="00893802">
        <w:t>the sig</w:t>
      </w:r>
      <w:r w:rsidR="00C62F62">
        <w:t>nificant</w:t>
      </w:r>
      <w:r w:rsidR="00CD36A2">
        <w:t xml:space="preserve"> influence of the</w:t>
      </w:r>
      <w:r w:rsidR="00A56B88">
        <w:t xml:space="preserve">se </w:t>
      </w:r>
      <w:r w:rsidR="00CD36A2">
        <w:t>operating variables in the stabilization of a stationary regime</w:t>
      </w:r>
      <w:r w:rsidR="00A56B88">
        <w:t xml:space="preserve"> and </w:t>
      </w:r>
      <w:r w:rsidR="007C1447">
        <w:t xml:space="preserve">yield of </w:t>
      </w:r>
      <w:r w:rsidR="00265682">
        <w:t xml:space="preserve">higher chain </w:t>
      </w:r>
      <w:r w:rsidR="007C1447">
        <w:t>hydrocarbons</w:t>
      </w:r>
      <w:r w:rsidR="00C62F62">
        <w:t xml:space="preserve">. </w:t>
      </w:r>
    </w:p>
    <w:p w14:paraId="144DE699" w14:textId="0E774FC9" w:rsidR="008D2649" w:rsidRDefault="00655184" w:rsidP="00647537">
      <w:pPr>
        <w:pStyle w:val="Els-1storder-head"/>
        <w:spacing w:after="120"/>
      </w:pPr>
      <w:r>
        <w:t xml:space="preserve">Methods and Modeling </w:t>
      </w:r>
    </w:p>
    <w:p w14:paraId="4011193B" w14:textId="557A87C2" w:rsidR="00CD129D" w:rsidRPr="00915DFD" w:rsidRDefault="00F8031C" w:rsidP="00915DFD">
      <w:pPr>
        <w:pStyle w:val="Els-body-text"/>
      </w:pPr>
      <w:r w:rsidRPr="00F8031C">
        <w:t>The</w:t>
      </w:r>
      <w:r w:rsidR="00260081">
        <w:t xml:space="preserve"> conceptual</w:t>
      </w:r>
      <w:r w:rsidRPr="00F8031C">
        <w:t xml:space="preserve"> model </w:t>
      </w:r>
      <w:r w:rsidR="00B87F31" w:rsidRPr="00B87F31">
        <w:t>proposed</w:t>
      </w:r>
      <w:r w:rsidRPr="00F8031C">
        <w:t xml:space="preserve"> in this study </w:t>
      </w:r>
      <w:r w:rsidR="00B87F31">
        <w:t>encompasses</w:t>
      </w:r>
      <w:r w:rsidRPr="00F8031C">
        <w:t xml:space="preserve"> a tub</w:t>
      </w:r>
      <w:r w:rsidR="00B87F31">
        <w:t>ular</w:t>
      </w:r>
      <w:r w:rsidR="00442C89" w:rsidRPr="00442C89">
        <w:t xml:space="preserve"> arrangement,</w:t>
      </w:r>
      <w:r w:rsidR="00442C89">
        <w:t xml:space="preserve"> </w:t>
      </w:r>
      <w:r w:rsidR="00442C89" w:rsidRPr="00442C89">
        <w:t>measuring 12 meters in length and 4.6 centimeters in inner diameter</w:t>
      </w:r>
      <w:r w:rsidR="00265682">
        <w:t>,</w:t>
      </w:r>
      <w:r w:rsidR="00442C89">
        <w:t xml:space="preserve"> </w:t>
      </w:r>
      <w:r w:rsidRPr="00F8031C">
        <w:t xml:space="preserve">within a </w:t>
      </w:r>
      <w:proofErr w:type="spellStart"/>
      <w:r w:rsidRPr="00F8031C">
        <w:t>multitubular</w:t>
      </w:r>
      <w:proofErr w:type="spellEnd"/>
      <w:r w:rsidRPr="00F8031C">
        <w:t xml:space="preserve"> fixed-bed reactor </w:t>
      </w:r>
      <w:r w:rsidR="00B87F31">
        <w:t xml:space="preserve">designed </w:t>
      </w:r>
      <w:r w:rsidRPr="00F8031C">
        <w:t>for Fischer-</w:t>
      </w:r>
      <w:proofErr w:type="spellStart"/>
      <w:r w:rsidRPr="00F8031C">
        <w:t>Tropsch</w:t>
      </w:r>
      <w:proofErr w:type="spellEnd"/>
      <w:r w:rsidRPr="00F8031C">
        <w:t xml:space="preserve"> synthesis</w:t>
      </w:r>
      <w:r w:rsidR="00B87F31">
        <w:t>. It utilizes</w:t>
      </w:r>
      <w:r w:rsidR="00915DFD">
        <w:t xml:space="preserve"> </w:t>
      </w:r>
      <w:r w:rsidR="00B87F31">
        <w:t>spherical particles of</w:t>
      </w:r>
      <w:r w:rsidR="00915DFD">
        <w:t xml:space="preserve"> </w:t>
      </w:r>
      <w:r w:rsidR="00E24AC6">
        <w:t>Co-Al</w:t>
      </w:r>
      <w:r w:rsidR="00E24AC6">
        <w:rPr>
          <w:vertAlign w:val="subscript"/>
        </w:rPr>
        <w:t>2</w:t>
      </w:r>
      <w:r w:rsidR="00E24AC6">
        <w:t>O</w:t>
      </w:r>
      <w:r w:rsidR="00E24AC6">
        <w:rPr>
          <w:vertAlign w:val="subscript"/>
        </w:rPr>
        <w:t>3</w:t>
      </w:r>
      <w:r w:rsidR="00E24AC6">
        <w:t xml:space="preserve"> catalyst </w:t>
      </w:r>
      <w:r w:rsidR="00915DFD">
        <w:t xml:space="preserve">with </w:t>
      </w:r>
      <w:r w:rsidR="008E1940">
        <w:t>3 mm</w:t>
      </w:r>
      <w:r w:rsidR="00B87F31">
        <w:t xml:space="preserve"> diameter. </w:t>
      </w:r>
      <w:r w:rsidR="00285AED">
        <w:t>The</w:t>
      </w:r>
      <w:r w:rsidR="00B87F31">
        <w:t xml:space="preserve"> reactor </w:t>
      </w:r>
      <w:r w:rsidR="008E1940">
        <w:t xml:space="preserve">has </w:t>
      </w:r>
      <w:r w:rsidR="00B87F31" w:rsidRPr="00B87F31">
        <w:t xml:space="preserve">an outer cooling mechanism, </w:t>
      </w:r>
      <w:r w:rsidR="00285AED">
        <w:t>consisting</w:t>
      </w:r>
      <w:r w:rsidR="00B87F31" w:rsidRPr="00B87F31">
        <w:t xml:space="preserve"> of boiling water at a temperature </w:t>
      </w:r>
      <w:r w:rsidR="008E1940">
        <w:t>5</w:t>
      </w:r>
      <w:r w:rsidR="00A56B88">
        <w:t xml:space="preserve"> to 10</w:t>
      </w:r>
      <w:r w:rsidR="008E1940">
        <w:t xml:space="preserve"> °C lower in respect</w:t>
      </w:r>
      <w:r w:rsidR="00B87F31" w:rsidRPr="00B87F31">
        <w:t xml:space="preserve"> to that of the incoming syngas</w:t>
      </w:r>
      <w:r w:rsidR="00A56B88">
        <w:t xml:space="preserve"> in order to avoid thermal runaways</w:t>
      </w:r>
      <w:r w:rsidR="00B87F31" w:rsidRPr="00B87F31">
        <w:t>.</w:t>
      </w:r>
      <w:r w:rsidR="00B87F31">
        <w:t xml:space="preserve"> </w:t>
      </w:r>
      <w:r w:rsidRPr="00F8031C">
        <w:t xml:space="preserve"> Moreover, due to the intrinsic complexity</w:t>
      </w:r>
      <w:r w:rsidR="00265682">
        <w:t xml:space="preserve"> of</w:t>
      </w:r>
      <w:r w:rsidRPr="00F8031C">
        <w:t xml:space="preserve"> such process, the following </w:t>
      </w:r>
      <w:r w:rsidR="00265682">
        <w:t>considerations were made</w:t>
      </w:r>
      <w:r w:rsidRPr="00F8031C">
        <w:t xml:space="preserve">: </w:t>
      </w:r>
      <w:r w:rsidR="00915DFD">
        <w:t>1. Dynamic operation; 2</w:t>
      </w:r>
      <w:r w:rsidRPr="00F8031C">
        <w:t xml:space="preserve">. One-dimensional </w:t>
      </w:r>
      <w:proofErr w:type="spellStart"/>
      <w:r w:rsidRPr="00F8031C">
        <w:t>pseudohomogeneous</w:t>
      </w:r>
      <w:proofErr w:type="spellEnd"/>
      <w:r w:rsidRPr="00F8031C">
        <w:t xml:space="preserve"> model; </w:t>
      </w:r>
      <w:r w:rsidR="00915DFD">
        <w:t>3</w:t>
      </w:r>
      <w:r w:rsidRPr="00F8031C">
        <w:t xml:space="preserve">. Solid-gas model (as it was observed that over 99% of the system exists in vapor phase); </w:t>
      </w:r>
      <w:r w:rsidR="00915DFD">
        <w:t>4</w:t>
      </w:r>
      <w:r w:rsidRPr="00F8031C">
        <w:t xml:space="preserve">. No resistance to thermal convection at the external tube wall; </w:t>
      </w:r>
      <w:r w:rsidR="00915DFD">
        <w:t>5</w:t>
      </w:r>
      <w:r w:rsidRPr="00F8031C">
        <w:t xml:space="preserve">. Formation of alcohols or aromatics was not considered; </w:t>
      </w:r>
      <w:r w:rsidR="00915DFD">
        <w:t>6</w:t>
      </w:r>
      <w:r w:rsidRPr="00F8031C">
        <w:t>. Reaction enthalpy and bed porosity remain constant alongside the reactor length</w:t>
      </w:r>
      <w:r w:rsidR="00A829C8">
        <w:t xml:space="preserve">; </w:t>
      </w:r>
      <w:r w:rsidR="00915DFD">
        <w:t>7</w:t>
      </w:r>
      <w:r w:rsidR="00A829C8">
        <w:t>. Paraffins and olefins formation is considered up to a chain length of 20 carbons</w:t>
      </w:r>
      <w:r w:rsidRPr="00F8031C">
        <w:t xml:space="preserve">. As a result, the constitutive equations describing this model are represented in </w:t>
      </w:r>
      <w:proofErr w:type="spellStart"/>
      <w:r w:rsidRPr="00F8031C">
        <w:t>Eq</w:t>
      </w:r>
      <w:r w:rsidR="002F062E">
        <w:t>s</w:t>
      </w:r>
      <w:proofErr w:type="spellEnd"/>
      <w:r w:rsidR="002F062E">
        <w:t>.</w:t>
      </w:r>
      <w:r w:rsidRPr="00F8031C">
        <w:t xml:space="preserve"> </w:t>
      </w:r>
      <w:r w:rsidR="002F062E">
        <w:t>(</w:t>
      </w:r>
      <w:r w:rsidRPr="00F8031C">
        <w:t>1</w:t>
      </w:r>
      <w:r w:rsidR="002F062E">
        <w:t>)</w:t>
      </w:r>
      <w:r w:rsidRPr="00F8031C">
        <w:t xml:space="preserve"> to</w:t>
      </w:r>
      <w:r w:rsidR="002F062E">
        <w:t xml:space="preserve"> (</w:t>
      </w:r>
      <w:r w:rsidRPr="00F8031C">
        <w:t>3</w:t>
      </w:r>
      <w:r w:rsidR="002F062E">
        <w:t>)</w:t>
      </w:r>
      <w:r w:rsidR="00915DFD">
        <w:rPr>
          <w:i/>
        </w:rPr>
        <w:t xml:space="preserve"> </w:t>
      </w:r>
      <w:r w:rsidR="00915DFD">
        <w:t>with initial and boundary conditions included in Table 1.</w:t>
      </w:r>
    </w:p>
    <w:p w14:paraId="67F77DCA" w14:textId="77777777" w:rsidR="006D52AE" w:rsidRPr="006D52AE" w:rsidRDefault="006D52AE" w:rsidP="006D52AE">
      <w:pPr>
        <w:pStyle w:val="Els-body-text"/>
        <w:spacing w:line="264" w:lineRule="auto"/>
      </w:pPr>
    </w:p>
    <w:tbl>
      <w:tblPr>
        <w:tblStyle w:val="Tabelacomgrade"/>
        <w:tblW w:w="7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5"/>
        <w:gridCol w:w="450"/>
      </w:tblGrid>
      <w:tr w:rsidR="00990D48" w14:paraId="29B29775" w14:textId="77777777" w:rsidTr="00990D48">
        <w:tc>
          <w:tcPr>
            <w:tcW w:w="6775" w:type="dxa"/>
          </w:tcPr>
          <w:p w14:paraId="107499BE" w14:textId="0E394D7A" w:rsidR="00990D48" w:rsidRPr="003253CA" w:rsidRDefault="00990D48" w:rsidP="00990D48">
            <w:pPr>
              <w:pStyle w:val="Els-body-text"/>
              <w:spacing w:before="120" w:after="120" w:line="264" w:lineRule="auto"/>
              <w:ind w:left="34" w:hanging="176"/>
            </w:pPr>
            <w:r>
              <w:rPr>
                <w:noProof/>
              </w:rPr>
              <w:t xml:space="preserve"> </w:t>
            </w:r>
            <w:r w:rsidRPr="00990D48">
              <w:rPr>
                <w:noProof/>
                <w:lang w:val="pt-BR" w:eastAsia="pt-BR"/>
              </w:rPr>
              <w:drawing>
                <wp:inline distT="0" distB="0" distL="0" distR="0" wp14:anchorId="229DB8B0" wp14:editId="02CAFDBF">
                  <wp:extent cx="1542553" cy="353877"/>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116" r="34920"/>
                          <a:stretch/>
                        </pic:blipFill>
                        <pic:spPr bwMode="auto">
                          <a:xfrm>
                            <a:off x="0" y="0"/>
                            <a:ext cx="1542553" cy="35387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 w:type="dxa"/>
            <w:vAlign w:val="center"/>
          </w:tcPr>
          <w:p w14:paraId="3D9F775A" w14:textId="529B68BA" w:rsidR="00990D48" w:rsidRDefault="00990D48" w:rsidP="006D52AE">
            <w:pPr>
              <w:pStyle w:val="Els-body-text"/>
              <w:spacing w:line="264" w:lineRule="auto"/>
              <w:jc w:val="right"/>
            </w:pPr>
            <w:r>
              <w:t>(1)</w:t>
            </w:r>
          </w:p>
        </w:tc>
      </w:tr>
      <w:tr w:rsidR="00990D48" w:rsidRPr="00804384" w14:paraId="5CEDB4B2" w14:textId="77777777" w:rsidTr="00B3771F">
        <w:tc>
          <w:tcPr>
            <w:tcW w:w="6775" w:type="dxa"/>
            <w:vAlign w:val="center"/>
          </w:tcPr>
          <w:p w14:paraId="43691C3A" w14:textId="19B70A50" w:rsidR="00990D48" w:rsidRDefault="00B3771F" w:rsidP="00B3771F">
            <w:pPr>
              <w:pStyle w:val="Els-body-text"/>
              <w:spacing w:before="120" w:after="120"/>
              <w:ind w:left="34" w:hanging="34"/>
              <w:jc w:val="center"/>
            </w:pPr>
            <w:r w:rsidRPr="00B3771F">
              <w:rPr>
                <w:noProof/>
                <w:lang w:val="pt-BR" w:eastAsia="pt-BR"/>
              </w:rPr>
              <w:drawing>
                <wp:inline distT="0" distB="0" distL="0" distR="0" wp14:anchorId="31DBCD7E" wp14:editId="08527F14">
                  <wp:extent cx="4198925" cy="33029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435" r="8947"/>
                          <a:stretch/>
                        </pic:blipFill>
                        <pic:spPr bwMode="auto">
                          <a:xfrm>
                            <a:off x="0" y="0"/>
                            <a:ext cx="4583148" cy="36051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 w:type="dxa"/>
            <w:vAlign w:val="center"/>
          </w:tcPr>
          <w:p w14:paraId="0CD4DB4C" w14:textId="0935F0B4" w:rsidR="00990D48" w:rsidRDefault="00990D48" w:rsidP="006D52AE">
            <w:pPr>
              <w:pStyle w:val="Els-body-text"/>
              <w:jc w:val="right"/>
            </w:pPr>
            <w:r>
              <w:t>(2)</w:t>
            </w:r>
          </w:p>
        </w:tc>
      </w:tr>
      <w:tr w:rsidR="00990D48" w14:paraId="066FCD9E" w14:textId="77777777" w:rsidTr="00990D48">
        <w:tc>
          <w:tcPr>
            <w:tcW w:w="6775" w:type="dxa"/>
          </w:tcPr>
          <w:p w14:paraId="2639F273" w14:textId="124D3E6B" w:rsidR="00990D48" w:rsidRPr="006D52AE" w:rsidRDefault="00990D48" w:rsidP="00B3771F">
            <w:pPr>
              <w:pStyle w:val="Els-body-text"/>
              <w:spacing w:before="120" w:after="120"/>
            </w:pPr>
            <w:r w:rsidRPr="00990D48">
              <w:rPr>
                <w:noProof/>
                <w:lang w:val="pt-BR" w:eastAsia="pt-BR"/>
              </w:rPr>
              <w:drawing>
                <wp:inline distT="0" distB="0" distL="0" distR="0" wp14:anchorId="42264C16" wp14:editId="771C9D15">
                  <wp:extent cx="2531059" cy="30806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859" r="24423"/>
                          <a:stretch/>
                        </pic:blipFill>
                        <pic:spPr bwMode="auto">
                          <a:xfrm>
                            <a:off x="0" y="0"/>
                            <a:ext cx="3051489" cy="3714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 w:type="dxa"/>
            <w:vAlign w:val="center"/>
          </w:tcPr>
          <w:p w14:paraId="3FD5C192" w14:textId="3E8FEA14" w:rsidR="00990D48" w:rsidRDefault="00990D48" w:rsidP="006D52AE">
            <w:pPr>
              <w:pStyle w:val="Els-body-text"/>
              <w:jc w:val="right"/>
            </w:pPr>
            <w:r>
              <w:t>(3)</w:t>
            </w:r>
          </w:p>
        </w:tc>
      </w:tr>
    </w:tbl>
    <w:p w14:paraId="533654D8" w14:textId="4493A522" w:rsidR="00F8031C" w:rsidRDefault="006D52AE" w:rsidP="00F8031C">
      <w:pPr>
        <w:pStyle w:val="Els-body-text"/>
      </w:pPr>
      <w:r>
        <w:t xml:space="preserve">Where </w:t>
      </w:r>
      <w:r w:rsidR="003253CA">
        <w:t>ε is the bed porosity</w:t>
      </w:r>
      <w:r w:rsidR="00166B2A">
        <w:t xml:space="preserve"> (</w:t>
      </w:r>
      <w:proofErr w:type="spellStart"/>
      <w:r w:rsidR="00166B2A" w:rsidRPr="00166B2A">
        <w:t>B</w:t>
      </w:r>
      <w:r w:rsidR="00166B2A">
        <w:t>enyahia</w:t>
      </w:r>
      <w:proofErr w:type="spellEnd"/>
      <w:r w:rsidR="00166B2A">
        <w:t xml:space="preserve"> and O’Neill, 2005), C</w:t>
      </w:r>
      <w:r w:rsidR="00166B2A">
        <w:rPr>
          <w:vertAlign w:val="subscript"/>
        </w:rPr>
        <w:t>i</w:t>
      </w:r>
      <w:r w:rsidR="00166B2A">
        <w:t xml:space="preserve"> is the component concentration (mol/m</w:t>
      </w:r>
      <w:r w:rsidR="00166B2A">
        <w:rPr>
          <w:vertAlign w:val="superscript"/>
        </w:rPr>
        <w:t>3</w:t>
      </w:r>
      <w:r w:rsidR="00166B2A">
        <w:t xml:space="preserve">), </w:t>
      </w:r>
      <w:r w:rsidR="00E457F9">
        <w:t>u</w:t>
      </w:r>
      <w:r w:rsidR="00E457F9">
        <w:rPr>
          <w:vertAlign w:val="subscript"/>
        </w:rPr>
        <w:t>s</w:t>
      </w:r>
      <w:r w:rsidR="00E457F9">
        <w:t xml:space="preserve"> is the fluid superficial velocity (m/s), </w:t>
      </w:r>
      <w:proofErr w:type="spellStart"/>
      <w:r w:rsidR="00E457F9">
        <w:t>ρ</w:t>
      </w:r>
      <w:r w:rsidR="00E457F9">
        <w:rPr>
          <w:vertAlign w:val="subscript"/>
        </w:rPr>
        <w:t>b</w:t>
      </w:r>
      <w:proofErr w:type="spellEnd"/>
      <w:r w:rsidR="00E457F9">
        <w:t xml:space="preserve"> is the bulk density (kg/m³), </w:t>
      </w:r>
      <w:proofErr w:type="spellStart"/>
      <w:r w:rsidR="00E457F9">
        <w:t>r</w:t>
      </w:r>
      <w:r w:rsidR="00E457F9">
        <w:rPr>
          <w:vertAlign w:val="subscript"/>
        </w:rPr>
        <w:t>i</w:t>
      </w:r>
      <w:proofErr w:type="spellEnd"/>
      <w:r w:rsidR="00E457F9">
        <w:t xml:space="preserve"> is the component reaction rate (mol/</w:t>
      </w:r>
      <w:proofErr w:type="spellStart"/>
      <w:r w:rsidR="00E457F9">
        <w:t>kg.s</w:t>
      </w:r>
      <w:proofErr w:type="spellEnd"/>
      <w:r w:rsidR="00E457F9">
        <w:t xml:space="preserve">), </w:t>
      </w:r>
      <w:proofErr w:type="spellStart"/>
      <w:r w:rsidR="00166B2A">
        <w:t>ρ</w:t>
      </w:r>
      <w:r w:rsidR="00166B2A">
        <w:rPr>
          <w:vertAlign w:val="subscript"/>
        </w:rPr>
        <w:t>f</w:t>
      </w:r>
      <w:proofErr w:type="spellEnd"/>
      <w:r w:rsidR="00166B2A">
        <w:t xml:space="preserve"> is the fluid density (</w:t>
      </w:r>
      <w:proofErr w:type="spellStart"/>
      <w:r w:rsidR="00166B2A">
        <w:t>k</w:t>
      </w:r>
      <w:r w:rsidR="00E457F9">
        <w:t>mol</w:t>
      </w:r>
      <w:proofErr w:type="spellEnd"/>
      <w:r w:rsidR="00166B2A">
        <w:t>/</w:t>
      </w:r>
      <w:r w:rsidR="00166B2A" w:rsidRPr="00166B2A">
        <w:t>m</w:t>
      </w:r>
      <w:r w:rsidR="00166B2A">
        <w:rPr>
          <w:vertAlign w:val="superscript"/>
        </w:rPr>
        <w:t>3</w:t>
      </w:r>
      <w:r w:rsidR="00166B2A">
        <w:t xml:space="preserve">), </w:t>
      </w:r>
      <w:proofErr w:type="spellStart"/>
      <w:r w:rsidR="00166B2A">
        <w:t>ρ</w:t>
      </w:r>
      <w:r w:rsidR="00166B2A">
        <w:rPr>
          <w:vertAlign w:val="subscript"/>
        </w:rPr>
        <w:t>p</w:t>
      </w:r>
      <w:proofErr w:type="spellEnd"/>
      <w:r w:rsidR="00166B2A">
        <w:t xml:space="preserve"> is the catalyst density (kg/m</w:t>
      </w:r>
      <w:r w:rsidR="00166B2A">
        <w:rPr>
          <w:vertAlign w:val="superscript"/>
        </w:rPr>
        <w:t>3</w:t>
      </w:r>
      <w:r w:rsidR="00166B2A">
        <w:t>) (</w:t>
      </w:r>
      <w:r w:rsidR="00E457F9">
        <w:t xml:space="preserve">Wang et al., 2016), </w:t>
      </w:r>
      <w:proofErr w:type="spellStart"/>
      <w:r w:rsidR="00E457F9">
        <w:t>cp</w:t>
      </w:r>
      <w:r w:rsidR="00E457F9">
        <w:rPr>
          <w:vertAlign w:val="subscript"/>
        </w:rPr>
        <w:t>f</w:t>
      </w:r>
      <w:proofErr w:type="spellEnd"/>
      <w:r w:rsidR="00E457F9">
        <w:t xml:space="preserve"> is the fluid heat capacity (kJ/</w:t>
      </w:r>
      <w:proofErr w:type="spellStart"/>
      <w:r w:rsidR="00E457F9">
        <w:t>kmol.K</w:t>
      </w:r>
      <w:proofErr w:type="spellEnd"/>
      <w:r w:rsidR="00E457F9">
        <w:t xml:space="preserve">), </w:t>
      </w:r>
      <w:r w:rsidR="00194687">
        <w:t>cp</w:t>
      </w:r>
      <w:r w:rsidR="00194687">
        <w:rPr>
          <w:vertAlign w:val="subscript"/>
        </w:rPr>
        <w:t>s</w:t>
      </w:r>
      <w:r w:rsidR="00194687">
        <w:t xml:space="preserve"> is the solid heat capacity (kJ/</w:t>
      </w:r>
      <w:proofErr w:type="spellStart"/>
      <w:r w:rsidR="00194687">
        <w:t>kg.K</w:t>
      </w:r>
      <w:proofErr w:type="spellEnd"/>
      <w:r w:rsidR="00194687">
        <w:t xml:space="preserve">) (Wang et al., 2016), T is the </w:t>
      </w:r>
      <w:r w:rsidR="00194687">
        <w:lastRenderedPageBreak/>
        <w:t>temperature (K),</w:t>
      </w:r>
      <w:r w:rsidR="002366F4">
        <w:t xml:space="preserve"> </w:t>
      </w:r>
      <w:proofErr w:type="spellStart"/>
      <w:r w:rsidR="002366F4">
        <w:t>U</w:t>
      </w:r>
      <w:r w:rsidR="002366F4">
        <w:rPr>
          <w:vertAlign w:val="subscript"/>
        </w:rPr>
        <w:t>wall</w:t>
      </w:r>
      <w:proofErr w:type="spellEnd"/>
      <w:r w:rsidR="002366F4">
        <w:rPr>
          <w:vertAlign w:val="subscript"/>
        </w:rPr>
        <w:t xml:space="preserve"> </w:t>
      </w:r>
      <w:r w:rsidR="002366F4">
        <w:t xml:space="preserve">is the global heat transfer coefficient evaluated at the wall (kJ/m².K) </w:t>
      </w:r>
      <w:r w:rsidR="00DB352B">
        <w:t xml:space="preserve">and its calculation procedure has been reported in extensive detail by </w:t>
      </w:r>
      <w:r w:rsidR="00ED39A0">
        <w:t xml:space="preserve">Rafiq et al </w:t>
      </w:r>
      <w:r w:rsidR="00DB352B">
        <w:t>(</w:t>
      </w:r>
      <w:r w:rsidR="00ED39A0">
        <w:t>201</w:t>
      </w:r>
      <w:r w:rsidR="000A2698">
        <w:t>1</w:t>
      </w:r>
      <w:r w:rsidR="00DB352B">
        <w:t>)</w:t>
      </w:r>
      <w:r w:rsidR="00ED39A0">
        <w:t xml:space="preserve">, </w:t>
      </w:r>
      <w:proofErr w:type="spellStart"/>
      <w:r w:rsidR="00ED39A0">
        <w:t>T</w:t>
      </w:r>
      <w:r w:rsidR="00ED39A0">
        <w:rPr>
          <w:vertAlign w:val="subscript"/>
        </w:rPr>
        <w:t>wall</w:t>
      </w:r>
      <w:proofErr w:type="spellEnd"/>
      <w:r w:rsidR="00ED39A0">
        <w:t xml:space="preserve"> is the temperature at the tube wall,</w:t>
      </w:r>
      <w:r w:rsidR="00194687">
        <w:t xml:space="preserve"> </w:t>
      </w:r>
      <w:proofErr w:type="spellStart"/>
      <w:r w:rsidR="00194687">
        <w:t>ΔH</w:t>
      </w:r>
      <w:r w:rsidR="00194687">
        <w:rPr>
          <w:vertAlign w:val="subscript"/>
        </w:rPr>
        <w:t>rxn</w:t>
      </w:r>
      <w:proofErr w:type="spellEnd"/>
      <w:r w:rsidR="00194687">
        <w:t xml:space="preserve"> is the reaction enthalpy (kJ/mol)</w:t>
      </w:r>
      <w:r w:rsidR="00B069E0">
        <w:t xml:space="preserve"> (Méndez et al., 2017)</w:t>
      </w:r>
      <w:r w:rsidR="00194687">
        <w:t xml:space="preserve">, P is the pressure (Pa), </w:t>
      </w:r>
      <w:proofErr w:type="spellStart"/>
      <w:r w:rsidR="00194687">
        <w:t>d</w:t>
      </w:r>
      <w:r w:rsidR="00194687">
        <w:rPr>
          <w:vertAlign w:val="subscript"/>
        </w:rPr>
        <w:t>p</w:t>
      </w:r>
      <w:proofErr w:type="spellEnd"/>
      <w:r w:rsidR="00194687">
        <w:t xml:space="preserve"> is the catalyst particle diameter and µ</w:t>
      </w:r>
      <w:r w:rsidR="00194687">
        <w:rPr>
          <w:vertAlign w:val="subscript"/>
        </w:rPr>
        <w:t>m</w:t>
      </w:r>
      <w:r w:rsidR="00194687">
        <w:t xml:space="preserve"> is the fluid viscosity (</w:t>
      </w:r>
      <w:proofErr w:type="spellStart"/>
      <w:r w:rsidR="00194687">
        <w:t>Pa.s</w:t>
      </w:r>
      <w:proofErr w:type="spellEnd"/>
      <w:r w:rsidR="00194687">
        <w:t xml:space="preserve">). </w:t>
      </w:r>
    </w:p>
    <w:p w14:paraId="12FF3D82" w14:textId="77777777" w:rsidR="00915DFD" w:rsidRPr="00915DFD" w:rsidRDefault="00915DFD" w:rsidP="00B87F31">
      <w:pPr>
        <w:pStyle w:val="Els-body-text"/>
      </w:pPr>
    </w:p>
    <w:p w14:paraId="26C9B197" w14:textId="77777777" w:rsidR="00B87F31" w:rsidRDefault="00B87F31" w:rsidP="00B87F31">
      <w:pPr>
        <w:pStyle w:val="Els-body-text"/>
        <w:spacing w:before="120" w:after="120"/>
        <w:jc w:val="center"/>
      </w:pPr>
      <w:r>
        <w:t>Table 1. Initial and boundary conditions for the set of differential equations.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1709"/>
        <w:gridCol w:w="1709"/>
        <w:gridCol w:w="1709"/>
      </w:tblGrid>
      <w:tr w:rsidR="00B87F31" w:rsidRPr="00915DFD" w14:paraId="1289FBD9" w14:textId="77777777" w:rsidTr="0047396F">
        <w:tc>
          <w:tcPr>
            <w:tcW w:w="1949" w:type="dxa"/>
            <w:tcBorders>
              <w:top w:val="single" w:sz="4" w:space="0" w:color="auto"/>
              <w:bottom w:val="single" w:sz="4" w:space="0" w:color="auto"/>
            </w:tcBorders>
          </w:tcPr>
          <w:p w14:paraId="22AEBDF5" w14:textId="77777777" w:rsidR="00B87F31" w:rsidRPr="00915DFD" w:rsidRDefault="00B87F31" w:rsidP="0047396F">
            <w:pPr>
              <w:pStyle w:val="Els-body-text"/>
              <w:jc w:val="center"/>
            </w:pPr>
            <w:r w:rsidRPr="00915DFD">
              <w:t>Condition</w:t>
            </w:r>
          </w:p>
        </w:tc>
        <w:tc>
          <w:tcPr>
            <w:tcW w:w="5127" w:type="dxa"/>
            <w:gridSpan w:val="3"/>
            <w:tcBorders>
              <w:top w:val="single" w:sz="4" w:space="0" w:color="auto"/>
              <w:bottom w:val="single" w:sz="4" w:space="0" w:color="auto"/>
            </w:tcBorders>
          </w:tcPr>
          <w:p w14:paraId="24BA1A26" w14:textId="77777777" w:rsidR="00B87F31" w:rsidRPr="00915DFD" w:rsidRDefault="00B87F31" w:rsidP="0047396F">
            <w:pPr>
              <w:pStyle w:val="Els-body-text"/>
              <w:jc w:val="center"/>
            </w:pPr>
            <w:r>
              <w:t>Variables</w:t>
            </w:r>
          </w:p>
        </w:tc>
      </w:tr>
      <w:tr w:rsidR="00B87F31" w:rsidRPr="00915DFD" w14:paraId="5EF0AD14" w14:textId="77777777" w:rsidTr="0047396F">
        <w:tc>
          <w:tcPr>
            <w:tcW w:w="1949" w:type="dxa"/>
            <w:tcBorders>
              <w:top w:val="single" w:sz="4" w:space="0" w:color="auto"/>
            </w:tcBorders>
          </w:tcPr>
          <w:p w14:paraId="528F77B7" w14:textId="77777777" w:rsidR="00B87F31" w:rsidRPr="00915DFD" w:rsidRDefault="00B87F31" w:rsidP="0047396F">
            <w:pPr>
              <w:pStyle w:val="Els-body-text"/>
              <w:jc w:val="center"/>
            </w:pPr>
            <m:oMathPara>
              <m:oMath>
                <m:r>
                  <w:rPr>
                    <w:rFonts w:ascii="Cambria Math" w:hAnsi="Cambria Math"/>
                  </w:rPr>
                  <m:t>t=0, 0&lt;z≤L</m:t>
                </m:r>
              </m:oMath>
            </m:oMathPara>
          </w:p>
        </w:tc>
        <w:tc>
          <w:tcPr>
            <w:tcW w:w="1709" w:type="dxa"/>
            <w:tcBorders>
              <w:top w:val="single" w:sz="4" w:space="0" w:color="auto"/>
            </w:tcBorders>
          </w:tcPr>
          <w:p w14:paraId="64F0970C" w14:textId="77777777" w:rsidR="00B87F31" w:rsidRPr="00915DFD" w:rsidRDefault="00737666" w:rsidP="0047396F">
            <w:pPr>
              <w:pStyle w:val="Els-body-text"/>
              <w:jc w:val="center"/>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=0</m:t>
                </m:r>
              </m:oMath>
            </m:oMathPara>
          </w:p>
        </w:tc>
        <w:tc>
          <w:tcPr>
            <w:tcW w:w="1709" w:type="dxa"/>
            <w:tcBorders>
              <w:top w:val="single" w:sz="4" w:space="0" w:color="auto"/>
            </w:tcBorders>
          </w:tcPr>
          <w:p w14:paraId="7CDF92F4" w14:textId="77777777" w:rsidR="00B87F31" w:rsidRPr="00915DFD" w:rsidRDefault="00B87F31" w:rsidP="0047396F">
            <w:pPr>
              <w:pStyle w:val="Els-body-text"/>
              <w:jc w:val="center"/>
            </w:pPr>
            <m:oMathPara>
              <m:oMath>
                <m:r>
                  <w:rPr>
                    <w:rFonts w:ascii="Cambria Math" w:hAnsi="Cambria Math"/>
                  </w:rPr>
                  <m:t>T=25 °C</m:t>
                </m:r>
              </m:oMath>
            </m:oMathPara>
          </w:p>
        </w:tc>
        <w:tc>
          <w:tcPr>
            <w:tcW w:w="1709" w:type="dxa"/>
            <w:tcBorders>
              <w:top w:val="single" w:sz="4" w:space="0" w:color="auto"/>
            </w:tcBorders>
          </w:tcPr>
          <w:p w14:paraId="2815948D" w14:textId="77777777" w:rsidR="00B87F31" w:rsidRPr="00915DFD" w:rsidRDefault="00B87F31" w:rsidP="0047396F">
            <w:pPr>
              <w:pStyle w:val="Els-body-text"/>
              <w:jc w:val="center"/>
            </w:pPr>
            <m:oMathPara>
              <m:oMath>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in</m:t>
                    </m:r>
                  </m:sub>
                </m:sSub>
              </m:oMath>
            </m:oMathPara>
          </w:p>
        </w:tc>
      </w:tr>
      <w:tr w:rsidR="00B87F31" w:rsidRPr="00915DFD" w14:paraId="1B8DDD46" w14:textId="77777777" w:rsidTr="0047396F">
        <w:tc>
          <w:tcPr>
            <w:tcW w:w="1949" w:type="dxa"/>
            <w:tcBorders>
              <w:bottom w:val="single" w:sz="4" w:space="0" w:color="auto"/>
            </w:tcBorders>
          </w:tcPr>
          <w:p w14:paraId="522CB986" w14:textId="77777777" w:rsidR="00B87F31" w:rsidRPr="00915DFD" w:rsidRDefault="00B87F31" w:rsidP="0047396F">
            <w:pPr>
              <w:pStyle w:val="Els-body-text"/>
              <w:jc w:val="center"/>
            </w:pPr>
            <m:oMathPara>
              <m:oMath>
                <m:r>
                  <w:rPr>
                    <w:rFonts w:ascii="Cambria Math" w:hAnsi="Cambria Math"/>
                  </w:rPr>
                  <m:t>t&gt;0, z=0</m:t>
                </m:r>
              </m:oMath>
            </m:oMathPara>
          </w:p>
        </w:tc>
        <w:tc>
          <w:tcPr>
            <w:tcW w:w="1709" w:type="dxa"/>
            <w:tcBorders>
              <w:bottom w:val="single" w:sz="4" w:space="0" w:color="auto"/>
            </w:tcBorders>
          </w:tcPr>
          <w:p w14:paraId="18D61AAE" w14:textId="77777777" w:rsidR="00B87F31" w:rsidRPr="00915DFD" w:rsidRDefault="00737666" w:rsidP="0047396F">
            <w:pPr>
              <w:pStyle w:val="Els-body-text"/>
              <w:jc w:val="center"/>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i,in</m:t>
                    </m:r>
                  </m:sub>
                </m:sSub>
              </m:oMath>
            </m:oMathPara>
          </w:p>
        </w:tc>
        <w:tc>
          <w:tcPr>
            <w:tcW w:w="1709" w:type="dxa"/>
            <w:tcBorders>
              <w:bottom w:val="single" w:sz="4" w:space="0" w:color="auto"/>
            </w:tcBorders>
          </w:tcPr>
          <w:p w14:paraId="68CA463F" w14:textId="77777777" w:rsidR="00B87F31" w:rsidRPr="00915DFD" w:rsidRDefault="00B87F31" w:rsidP="0047396F">
            <w:pPr>
              <w:pStyle w:val="Els-body-text"/>
              <w:jc w:val="center"/>
            </w:pPr>
            <m:oMathPara>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in</m:t>
                    </m:r>
                  </m:sub>
                </m:sSub>
              </m:oMath>
            </m:oMathPara>
          </w:p>
        </w:tc>
        <w:tc>
          <w:tcPr>
            <w:tcW w:w="1709" w:type="dxa"/>
            <w:tcBorders>
              <w:bottom w:val="single" w:sz="4" w:space="0" w:color="auto"/>
            </w:tcBorders>
          </w:tcPr>
          <w:p w14:paraId="32F5D234" w14:textId="77777777" w:rsidR="00B87F31" w:rsidRPr="00915DFD" w:rsidRDefault="00B87F31" w:rsidP="0047396F">
            <w:pPr>
              <w:pStyle w:val="Els-body-text"/>
              <w:jc w:val="center"/>
            </w:pPr>
            <m:oMathPara>
              <m:oMath>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in</m:t>
                    </m:r>
                  </m:sub>
                </m:sSub>
              </m:oMath>
            </m:oMathPara>
          </w:p>
        </w:tc>
      </w:tr>
    </w:tbl>
    <w:p w14:paraId="6C58BFCB" w14:textId="77777777" w:rsidR="00EC7577" w:rsidRDefault="00EC7577" w:rsidP="00F8031C">
      <w:pPr>
        <w:pStyle w:val="Els-body-text"/>
      </w:pPr>
    </w:p>
    <w:p w14:paraId="01B1D9A7" w14:textId="08CAEFA8" w:rsidR="00194687" w:rsidRDefault="00915DFD" w:rsidP="00F8031C">
      <w:pPr>
        <w:pStyle w:val="Els-body-text"/>
      </w:pPr>
      <w:r>
        <w:t>T</w:t>
      </w:r>
      <w:r w:rsidR="00194687">
        <w:t xml:space="preserve">he reaction rate expression is </w:t>
      </w:r>
      <w:r w:rsidR="00ED39A0">
        <w:t xml:space="preserve">obtained </w:t>
      </w:r>
      <w:r w:rsidR="00194687">
        <w:t xml:space="preserve">according to Eq. (4). </w:t>
      </w:r>
    </w:p>
    <w:p w14:paraId="04AE8763" w14:textId="77777777" w:rsidR="00194687" w:rsidRDefault="00194687" w:rsidP="00194687">
      <w:pPr>
        <w:pStyle w:val="Els-body-text"/>
        <w:spacing w:line="264" w:lineRule="auto"/>
      </w:pPr>
    </w:p>
    <w:tbl>
      <w:tblPr>
        <w:tblStyle w:val="Tabelacomgrade"/>
        <w:tblW w:w="7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83"/>
        <w:gridCol w:w="702"/>
      </w:tblGrid>
      <w:tr w:rsidR="00194687" w14:paraId="6D80097D" w14:textId="77777777" w:rsidTr="00CD051D">
        <w:tc>
          <w:tcPr>
            <w:tcW w:w="6091" w:type="dxa"/>
          </w:tcPr>
          <w:p w14:paraId="2E9911E8" w14:textId="1EBC2971" w:rsidR="00194687" w:rsidRPr="003253CA" w:rsidRDefault="00BA7CA6" w:rsidP="00CD051D">
            <w:pPr>
              <w:pStyle w:val="Els-body-text"/>
              <w:spacing w:before="120" w:after="120" w:line="264" w:lineRule="auto"/>
              <w:ind w:left="35" w:hanging="35"/>
            </w:pPr>
            <w:r w:rsidRPr="00BA7CA6">
              <w:rPr>
                <w:noProof/>
                <w:lang w:val="pt-BR" w:eastAsia="pt-BR"/>
              </w:rPr>
              <w:drawing>
                <wp:inline distT="0" distB="0" distL="0" distR="0" wp14:anchorId="7BB31A1C" wp14:editId="5432AB16">
                  <wp:extent cx="878773" cy="15437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1949" t="-2" r="42373"/>
                          <a:stretch/>
                        </pic:blipFill>
                        <pic:spPr bwMode="auto">
                          <a:xfrm>
                            <a:off x="0" y="0"/>
                            <a:ext cx="951685" cy="1671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3" w:type="dxa"/>
          </w:tcPr>
          <w:p w14:paraId="4150C414" w14:textId="77777777" w:rsidR="00194687" w:rsidRDefault="00194687" w:rsidP="00CD051D">
            <w:pPr>
              <w:pStyle w:val="Els-body-text"/>
              <w:spacing w:line="264" w:lineRule="auto"/>
            </w:pPr>
          </w:p>
        </w:tc>
        <w:tc>
          <w:tcPr>
            <w:tcW w:w="702" w:type="dxa"/>
            <w:vAlign w:val="center"/>
          </w:tcPr>
          <w:p w14:paraId="527F0217" w14:textId="64D0326D" w:rsidR="00194687" w:rsidRDefault="00194687" w:rsidP="00CD051D">
            <w:pPr>
              <w:pStyle w:val="Els-body-text"/>
              <w:spacing w:line="264" w:lineRule="auto"/>
              <w:jc w:val="right"/>
            </w:pPr>
            <w:r>
              <w:t>(4)</w:t>
            </w:r>
          </w:p>
        </w:tc>
      </w:tr>
    </w:tbl>
    <w:p w14:paraId="6C127739" w14:textId="50399B40" w:rsidR="00194687" w:rsidRDefault="00194687" w:rsidP="00990D48">
      <w:pPr>
        <w:pStyle w:val="Els-body-text"/>
        <w:spacing w:line="264" w:lineRule="auto"/>
      </w:pPr>
    </w:p>
    <w:p w14:paraId="62680A2A" w14:textId="58B6F464" w:rsidR="00BE3169" w:rsidRDefault="00990D48" w:rsidP="00BE3169">
      <w:pPr>
        <w:pStyle w:val="Els-body-text"/>
        <w:spacing w:line="264" w:lineRule="auto"/>
      </w:pPr>
      <w:r>
        <w:t xml:space="preserve">Where </w:t>
      </w:r>
      <w:proofErr w:type="spellStart"/>
      <w:r>
        <w:t>ν</w:t>
      </w:r>
      <w:r>
        <w:rPr>
          <w:vertAlign w:val="subscript"/>
        </w:rPr>
        <w:t>i</w:t>
      </w:r>
      <w:proofErr w:type="spellEnd"/>
      <w:r>
        <w:t xml:space="preserve"> is the component</w:t>
      </w:r>
      <w:r w:rsidR="00B069E0">
        <w:t>’s</w:t>
      </w:r>
      <w:r>
        <w:t xml:space="preserve"> stoich</w:t>
      </w:r>
      <w:r w:rsidR="00B069E0">
        <w:t>iome</w:t>
      </w:r>
      <w:r>
        <w:t>tric</w:t>
      </w:r>
      <w:r w:rsidR="00B069E0">
        <w:t xml:space="preserve"> coefficient, S</w:t>
      </w:r>
      <w:r w:rsidR="00B069E0">
        <w:rPr>
          <w:vertAlign w:val="subscript"/>
        </w:rPr>
        <w:t xml:space="preserve">i </w:t>
      </w:r>
      <w:r w:rsidR="00B069E0">
        <w:t xml:space="preserve">is the component’s selectivity </w:t>
      </w:r>
      <w:r w:rsidR="008B577C">
        <w:t>following</w:t>
      </w:r>
      <w:r w:rsidR="00B069E0">
        <w:t xml:space="preserve"> the Anderson-</w:t>
      </w:r>
      <w:proofErr w:type="spellStart"/>
      <w:r w:rsidR="00B069E0">
        <w:t>Shulz</w:t>
      </w:r>
      <w:proofErr w:type="spellEnd"/>
      <w:r w:rsidR="00B069E0">
        <w:t>-Flory distribution (</w:t>
      </w:r>
      <w:proofErr w:type="spellStart"/>
      <w:r w:rsidR="00B069E0">
        <w:t>Förtsch</w:t>
      </w:r>
      <w:proofErr w:type="spellEnd"/>
      <w:r w:rsidR="000A2698">
        <w:t xml:space="preserve"> et al.</w:t>
      </w:r>
      <w:r w:rsidR="00B069E0">
        <w:t xml:space="preserve">, 2015) </w:t>
      </w:r>
      <w:r w:rsidR="008B577C">
        <w:t>by means of</w:t>
      </w:r>
      <w:r w:rsidR="00B069E0">
        <w:t xml:space="preserve"> a variable chain growth probability </w:t>
      </w:r>
      <w:r w:rsidR="008B577C">
        <w:t xml:space="preserve">factor </w:t>
      </w:r>
      <w:r w:rsidR="00B069E0">
        <w:t>(</w:t>
      </w:r>
      <w:proofErr w:type="spellStart"/>
      <w:r w:rsidR="00B069E0">
        <w:t>Vervloet</w:t>
      </w:r>
      <w:proofErr w:type="spellEnd"/>
      <w:r w:rsidR="00B069E0">
        <w:t xml:space="preserve"> et al., 2012), </w:t>
      </w:r>
      <w:proofErr w:type="spellStart"/>
      <w:r w:rsidR="00B069E0">
        <w:t>φ</w:t>
      </w:r>
      <w:r w:rsidR="00B069E0">
        <w:rPr>
          <w:vertAlign w:val="subscript"/>
        </w:rPr>
        <w:t>i</w:t>
      </w:r>
      <w:proofErr w:type="spellEnd"/>
      <w:r w:rsidR="00B069E0">
        <w:t xml:space="preserve"> is the distribution factor for the Olefin/Paraffin ratio (</w:t>
      </w:r>
      <w:r w:rsidR="002366F4">
        <w:t xml:space="preserve">Pandey et al., 2020) and </w:t>
      </w:r>
      <w:proofErr w:type="spellStart"/>
      <w:r w:rsidR="004910BD" w:rsidRPr="004910BD">
        <w:t>r</w:t>
      </w:r>
      <w:r w:rsidR="004910BD" w:rsidRPr="004910BD">
        <w:rPr>
          <w:vertAlign w:val="subscript"/>
        </w:rPr>
        <w:t>FT</w:t>
      </w:r>
      <w:proofErr w:type="spellEnd"/>
      <w:r w:rsidR="004910BD" w:rsidRPr="004910BD">
        <w:t>,</w:t>
      </w:r>
      <w:r w:rsidR="004910BD">
        <w:t xml:space="preserve"> denoting the reaction kinetics,</w:t>
      </w:r>
      <w:r w:rsidR="004910BD" w:rsidRPr="004910BD">
        <w:t xml:space="preserve"> </w:t>
      </w:r>
      <w:r w:rsidR="00243ECA">
        <w:t>is related</w:t>
      </w:r>
      <w:r w:rsidR="004910BD" w:rsidRPr="004910BD">
        <w:t xml:space="preserve"> to the commercial Co-Al</w:t>
      </w:r>
      <w:r w:rsidR="004910BD" w:rsidRPr="004910BD">
        <w:rPr>
          <w:vertAlign w:val="subscript"/>
        </w:rPr>
        <w:t>2</w:t>
      </w:r>
      <w:r w:rsidR="004910BD" w:rsidRPr="004910BD">
        <w:t>O</w:t>
      </w:r>
      <w:r w:rsidR="004910BD" w:rsidRPr="004910BD">
        <w:rPr>
          <w:vertAlign w:val="subscript"/>
        </w:rPr>
        <w:t>3</w:t>
      </w:r>
      <w:r w:rsidR="004910BD" w:rsidRPr="004910BD">
        <w:t xml:space="preserve"> catalyst and have been </w:t>
      </w:r>
      <w:r w:rsidR="00243ECA">
        <w:t>obtained</w:t>
      </w:r>
      <w:r w:rsidR="004910BD" w:rsidRPr="004910BD">
        <w:t xml:space="preserve"> from Kaiser et al.</w:t>
      </w:r>
      <w:r w:rsidR="004910BD">
        <w:t xml:space="preserve"> (201</w:t>
      </w:r>
      <w:r w:rsidR="00D82550">
        <w:t>4</w:t>
      </w:r>
      <w:r w:rsidR="004910BD">
        <w:t>)</w:t>
      </w:r>
      <w:r w:rsidR="004910BD" w:rsidRPr="004910BD">
        <w:t xml:space="preserve"> comprehensive </w:t>
      </w:r>
      <w:r w:rsidR="004910BD">
        <w:t>study</w:t>
      </w:r>
      <w:r w:rsidR="004910BD" w:rsidRPr="004910BD">
        <w:t xml:space="preserve">. </w:t>
      </w:r>
    </w:p>
    <w:p w14:paraId="7A301E8D" w14:textId="02D94F5A" w:rsidR="00B87F31" w:rsidRDefault="004071C1" w:rsidP="00BE3169">
      <w:pPr>
        <w:pStyle w:val="Els-body-text"/>
        <w:spacing w:line="264" w:lineRule="auto"/>
      </w:pPr>
      <w:r>
        <w:t>In addition</w:t>
      </w:r>
      <w:r w:rsidRPr="004071C1">
        <w:t>, the remaining properties concerning the system's components were computed using the database</w:t>
      </w:r>
      <w:r>
        <w:t>s</w:t>
      </w:r>
      <w:r w:rsidRPr="004071C1">
        <w:t xml:space="preserve"> within the Aspen Properties® v12 software, employing the Soave-Redlich-</w:t>
      </w:r>
      <w:proofErr w:type="spellStart"/>
      <w:r w:rsidRPr="004071C1">
        <w:t>Kwong</w:t>
      </w:r>
      <w:proofErr w:type="spellEnd"/>
      <w:r w:rsidRPr="004071C1">
        <w:t xml:space="preserve"> equation of state</w:t>
      </w:r>
      <w:r w:rsidR="00265682">
        <w:t xml:space="preserve"> </w:t>
      </w:r>
      <w:r w:rsidR="000A2698">
        <w:t>(Karimi et al., 2012)</w:t>
      </w:r>
      <w:r w:rsidRPr="004071C1">
        <w:t>.</w:t>
      </w:r>
      <w:r w:rsidR="00681C84">
        <w:t xml:space="preserve"> The </w:t>
      </w:r>
      <w:r w:rsidR="004A4016">
        <w:t>resulting system</w:t>
      </w:r>
      <w:r w:rsidR="00681C84">
        <w:t xml:space="preserve"> of differential equations was </w:t>
      </w:r>
      <w:r w:rsidR="004A4016" w:rsidRPr="004A4016">
        <w:rPr>
          <w:lang w:val="en-GB"/>
        </w:rPr>
        <w:t xml:space="preserve">subsequently </w:t>
      </w:r>
      <w:r w:rsidR="00681C84">
        <w:t xml:space="preserve">implemented as a model in </w:t>
      </w:r>
      <w:r w:rsidR="00681C84" w:rsidRPr="004071C1">
        <w:t xml:space="preserve">Aspen </w:t>
      </w:r>
      <w:r w:rsidR="00681C84">
        <w:t>Custom Modeler</w:t>
      </w:r>
      <w:r w:rsidR="00681C84" w:rsidRPr="004071C1">
        <w:t>® v12 software</w:t>
      </w:r>
      <w:r w:rsidR="004A4016">
        <w:t>.</w:t>
      </w:r>
      <w:r w:rsidR="00681C84">
        <w:t xml:space="preserve"> </w:t>
      </w:r>
      <w:r w:rsidR="004A4016">
        <w:t>The solution was obtained</w:t>
      </w:r>
      <w:r w:rsidR="00681C84">
        <w:t xml:space="preserve"> by</w:t>
      </w:r>
      <w:r w:rsidR="004A4016">
        <w:t xml:space="preserve"> </w:t>
      </w:r>
      <w:r w:rsidR="004A4016" w:rsidRPr="004A4016">
        <w:t>employing</w:t>
      </w:r>
      <w:r w:rsidR="00681C84">
        <w:t xml:space="preserve"> the lines method, using backward finite differentiation </w:t>
      </w:r>
      <w:r w:rsidR="004A4016" w:rsidRPr="004A4016">
        <w:t>for discretizing</w:t>
      </w:r>
      <w:r w:rsidR="004A4016">
        <w:t xml:space="preserve"> </w:t>
      </w:r>
      <w:r w:rsidR="00681C84">
        <w:t xml:space="preserve">the </w:t>
      </w:r>
      <w:r w:rsidR="0039144F">
        <w:t xml:space="preserve">axial </w:t>
      </w:r>
      <w:r w:rsidR="00CE7B49">
        <w:t>domain in 50 slices of 0.24 m each</w:t>
      </w:r>
      <w:r w:rsidR="00681C84">
        <w:t xml:space="preserve"> and </w:t>
      </w:r>
      <w:r w:rsidR="00BE3169">
        <w:t>I</w:t>
      </w:r>
      <w:r w:rsidR="00681C84">
        <w:t xml:space="preserve">mplicit Euler </w:t>
      </w:r>
      <w:r w:rsidR="00BE3169">
        <w:t>as</w:t>
      </w:r>
      <w:r w:rsidR="00681C84">
        <w:t xml:space="preserve"> the integration method for the</w:t>
      </w:r>
      <w:r w:rsidR="00BE3169">
        <w:t xml:space="preserve"> time derivatives</w:t>
      </w:r>
      <w:r w:rsidR="00CE7B49">
        <w:t xml:space="preserve"> up to t = 300 s and variable step size</w:t>
      </w:r>
      <w:r w:rsidR="00681C84">
        <w:t>.</w:t>
      </w:r>
    </w:p>
    <w:p w14:paraId="3FDF02BB" w14:textId="5FC866BC" w:rsidR="00DB352B" w:rsidRDefault="00B87F31" w:rsidP="00BE3169">
      <w:pPr>
        <w:pStyle w:val="Els-body-text"/>
        <w:spacing w:line="264" w:lineRule="auto"/>
      </w:pPr>
      <w:r>
        <w:t xml:space="preserve">In order to test the developed model, a sensitivity analysis varying syngas inlet molar flow-rate, temperature and syngas composition was conducted in order to evaluate how long the system would take to achieve steady-state, CO conversion and </w:t>
      </w:r>
      <w:r w:rsidR="00285AED">
        <w:t>selectivity</w:t>
      </w:r>
      <w:r>
        <w:t xml:space="preserve"> towards different chain length hydrocarbons. </w:t>
      </w:r>
      <w:r w:rsidRPr="00B87F31">
        <w:t>Table 2 presents a</w:t>
      </w:r>
      <w:r w:rsidR="00CE6A80">
        <w:t xml:space="preserve">n </w:t>
      </w:r>
      <w:r w:rsidRPr="00B87F31">
        <w:t xml:space="preserve">overview of both the base case and the varied conditions examined, </w:t>
      </w:r>
      <w:r>
        <w:t>which further allowed to analyze</w:t>
      </w:r>
      <w:r w:rsidRPr="00B87F31">
        <w:t xml:space="preserve"> alterations and deviations from the </w:t>
      </w:r>
      <w:r>
        <w:t>base</w:t>
      </w:r>
      <w:r w:rsidRPr="00B87F31">
        <w:t xml:space="preserve"> </w:t>
      </w:r>
      <w:r w:rsidR="00CE6A80">
        <w:t xml:space="preserve">case </w:t>
      </w:r>
      <w:r w:rsidRPr="00B87F31">
        <w:t xml:space="preserve">scenario </w:t>
      </w:r>
      <w:r w:rsidR="00CE6A80">
        <w:t>clarifying</w:t>
      </w:r>
      <w:r>
        <w:t xml:space="preserve"> </w:t>
      </w:r>
      <w:r w:rsidR="00CE6A80">
        <w:t xml:space="preserve">how the operational variables impact </w:t>
      </w:r>
      <w:r>
        <w:t>the system behavio</w:t>
      </w:r>
      <w:r w:rsidR="00CE6A80">
        <w:t>r.</w:t>
      </w:r>
    </w:p>
    <w:p w14:paraId="47FF6D25" w14:textId="77777777" w:rsidR="00DB352B" w:rsidRPr="00A94774" w:rsidRDefault="00DB352B" w:rsidP="00DB352B">
      <w:pPr>
        <w:pStyle w:val="Els-1storder-head"/>
        <w:spacing w:after="120"/>
        <w:rPr>
          <w:lang w:val="en-GB"/>
        </w:rPr>
      </w:pPr>
      <w:r>
        <w:rPr>
          <w:lang w:val="en-GB"/>
        </w:rPr>
        <w:t>Results and discussion</w:t>
      </w:r>
    </w:p>
    <w:p w14:paraId="31F95695" w14:textId="0B48C76D" w:rsidR="00DB352B" w:rsidRDefault="00DB352B" w:rsidP="00BE3169">
      <w:pPr>
        <w:pStyle w:val="Els-body-text"/>
        <w:spacing w:line="264" w:lineRule="auto"/>
      </w:pPr>
      <w:proofErr w:type="spellStart"/>
      <w:r w:rsidRPr="008E1E3B">
        <w:rPr>
          <w:lang w:val="en-GB"/>
        </w:rPr>
        <w:t>Modeling</w:t>
      </w:r>
      <w:proofErr w:type="spellEnd"/>
      <w:r w:rsidRPr="008E1E3B">
        <w:rPr>
          <w:lang w:val="en-GB"/>
        </w:rPr>
        <w:t xml:space="preserve"> a dynamic system that represents the Fischer-</w:t>
      </w:r>
      <w:proofErr w:type="spellStart"/>
      <w:r w:rsidRPr="008E1E3B">
        <w:rPr>
          <w:lang w:val="en-GB"/>
        </w:rPr>
        <w:t>Tropsch</w:t>
      </w:r>
      <w:proofErr w:type="spellEnd"/>
      <w:r w:rsidRPr="008E1E3B">
        <w:rPr>
          <w:lang w:val="en-GB"/>
        </w:rPr>
        <w:t xml:space="preserve"> process has proven to be a complex task, despite the usage of simplifying assumptions. The </w:t>
      </w:r>
      <w:r w:rsidR="00F85225">
        <w:rPr>
          <w:lang w:val="en-GB"/>
        </w:rPr>
        <w:t>numerical</w:t>
      </w:r>
      <w:r w:rsidRPr="008E1E3B">
        <w:rPr>
          <w:lang w:val="en-GB"/>
        </w:rPr>
        <w:t xml:space="preserve"> initialization is highly sensitive to initial conditions, given the nonlinearities inherent not only in the overall constitutive equations of the model but also in the calculations of the system's parameters and properties. </w:t>
      </w:r>
    </w:p>
    <w:p w14:paraId="5542DF91" w14:textId="0C5940F5" w:rsidR="00CE6A80" w:rsidRDefault="00CE6A80" w:rsidP="00CE6A80">
      <w:pPr>
        <w:pStyle w:val="Els-body-text"/>
        <w:spacing w:before="120" w:after="120"/>
        <w:jc w:val="center"/>
      </w:pPr>
      <w:r>
        <w:lastRenderedPageBreak/>
        <w:t xml:space="preserve">Table 2. </w:t>
      </w:r>
      <w:r w:rsidR="004A12D6">
        <w:t>Conditions tested</w:t>
      </w:r>
      <w:r>
        <w:t xml:space="preserve"> in the sensitivity analysis.</w:t>
      </w:r>
    </w:p>
    <w:tbl>
      <w:tblPr>
        <w:tblW w:w="7083" w:type="dxa"/>
        <w:jc w:val="center"/>
        <w:tblCellMar>
          <w:left w:w="70" w:type="dxa"/>
          <w:right w:w="70" w:type="dxa"/>
        </w:tblCellMar>
        <w:tblLook w:val="04A0" w:firstRow="1" w:lastRow="0" w:firstColumn="1" w:lastColumn="0" w:noHBand="0" w:noVBand="1"/>
      </w:tblPr>
      <w:tblGrid>
        <w:gridCol w:w="720"/>
        <w:gridCol w:w="2110"/>
        <w:gridCol w:w="2552"/>
        <w:gridCol w:w="1701"/>
      </w:tblGrid>
      <w:tr w:rsidR="00CE6A80" w:rsidRPr="00CE6A80" w14:paraId="6F0D6990" w14:textId="77777777" w:rsidTr="00CE6A80">
        <w:trPr>
          <w:trHeight w:val="255"/>
          <w:jc w:val="center"/>
        </w:trPr>
        <w:tc>
          <w:tcPr>
            <w:tcW w:w="720" w:type="dxa"/>
            <w:tcBorders>
              <w:top w:val="single" w:sz="4" w:space="0" w:color="auto"/>
              <w:bottom w:val="single" w:sz="4" w:space="0" w:color="auto"/>
            </w:tcBorders>
            <w:shd w:val="clear" w:color="auto" w:fill="auto"/>
            <w:noWrap/>
            <w:vAlign w:val="bottom"/>
            <w:hideMark/>
          </w:tcPr>
          <w:p w14:paraId="3FDA4B90" w14:textId="77777777" w:rsidR="00CE6A80" w:rsidRPr="00CE6A80" w:rsidRDefault="00CE6A80" w:rsidP="00CE6A80">
            <w:pPr>
              <w:jc w:val="center"/>
              <w:rPr>
                <w:color w:val="000000"/>
                <w:lang w:val="pt-BR" w:eastAsia="pt-BR"/>
              </w:rPr>
            </w:pPr>
            <w:r w:rsidRPr="00CE6A80">
              <w:rPr>
                <w:color w:val="000000"/>
                <w:lang w:val="pt-BR" w:eastAsia="pt-BR"/>
              </w:rPr>
              <w:t>Case</w:t>
            </w:r>
          </w:p>
        </w:tc>
        <w:tc>
          <w:tcPr>
            <w:tcW w:w="2110" w:type="dxa"/>
            <w:tcBorders>
              <w:top w:val="single" w:sz="4" w:space="0" w:color="auto"/>
              <w:bottom w:val="single" w:sz="4" w:space="0" w:color="auto"/>
            </w:tcBorders>
            <w:shd w:val="clear" w:color="auto" w:fill="auto"/>
            <w:noWrap/>
            <w:vAlign w:val="bottom"/>
            <w:hideMark/>
          </w:tcPr>
          <w:p w14:paraId="34919CF8" w14:textId="77777777" w:rsidR="00CE6A80" w:rsidRPr="00CE6A80" w:rsidRDefault="00CE6A80" w:rsidP="00CE6A80">
            <w:pPr>
              <w:jc w:val="center"/>
              <w:rPr>
                <w:color w:val="000000"/>
                <w:lang w:val="pt-BR" w:eastAsia="pt-BR"/>
              </w:rPr>
            </w:pPr>
            <w:proofErr w:type="spellStart"/>
            <w:r w:rsidRPr="00CE6A80">
              <w:rPr>
                <w:color w:val="000000"/>
                <w:lang w:val="pt-BR" w:eastAsia="pt-BR"/>
              </w:rPr>
              <w:t>Inlet</w:t>
            </w:r>
            <w:proofErr w:type="spellEnd"/>
            <w:r w:rsidRPr="00CE6A80">
              <w:rPr>
                <w:color w:val="000000"/>
                <w:lang w:val="pt-BR" w:eastAsia="pt-BR"/>
              </w:rPr>
              <w:t xml:space="preserve"> </w:t>
            </w:r>
            <w:proofErr w:type="spellStart"/>
            <w:r w:rsidRPr="00CE6A80">
              <w:rPr>
                <w:color w:val="000000"/>
                <w:lang w:val="pt-BR" w:eastAsia="pt-BR"/>
              </w:rPr>
              <w:t>Temperature</w:t>
            </w:r>
            <w:proofErr w:type="spellEnd"/>
            <w:r w:rsidRPr="00CE6A80">
              <w:rPr>
                <w:color w:val="000000"/>
                <w:lang w:val="pt-BR" w:eastAsia="pt-BR"/>
              </w:rPr>
              <w:t xml:space="preserve"> (°C)</w:t>
            </w:r>
          </w:p>
        </w:tc>
        <w:tc>
          <w:tcPr>
            <w:tcW w:w="2552" w:type="dxa"/>
            <w:tcBorders>
              <w:top w:val="single" w:sz="4" w:space="0" w:color="auto"/>
              <w:bottom w:val="single" w:sz="4" w:space="0" w:color="auto"/>
            </w:tcBorders>
            <w:shd w:val="clear" w:color="auto" w:fill="auto"/>
            <w:noWrap/>
            <w:vAlign w:val="bottom"/>
            <w:hideMark/>
          </w:tcPr>
          <w:p w14:paraId="513F9EC6" w14:textId="77777777" w:rsidR="00CE6A80" w:rsidRPr="00CE6A80" w:rsidRDefault="00CE6A80" w:rsidP="00CE6A80">
            <w:pPr>
              <w:jc w:val="center"/>
              <w:rPr>
                <w:color w:val="000000"/>
                <w:lang w:val="en-US" w:eastAsia="pt-BR"/>
              </w:rPr>
            </w:pPr>
            <w:r w:rsidRPr="00CE6A80">
              <w:rPr>
                <w:color w:val="000000"/>
                <w:lang w:val="en-US" w:eastAsia="pt-BR"/>
              </w:rPr>
              <w:t>Syngas inlet flow-rate (mol/s)</w:t>
            </w:r>
          </w:p>
        </w:tc>
        <w:tc>
          <w:tcPr>
            <w:tcW w:w="1701" w:type="dxa"/>
            <w:tcBorders>
              <w:top w:val="single" w:sz="4" w:space="0" w:color="auto"/>
              <w:bottom w:val="single" w:sz="4" w:space="0" w:color="auto"/>
            </w:tcBorders>
            <w:shd w:val="clear" w:color="auto" w:fill="auto"/>
            <w:noWrap/>
            <w:vAlign w:val="bottom"/>
            <w:hideMark/>
          </w:tcPr>
          <w:p w14:paraId="10BAF31D" w14:textId="6CC59DBA" w:rsidR="00CE6A80" w:rsidRPr="00CE6A80" w:rsidRDefault="00CE6A80" w:rsidP="00CE6A80">
            <w:pPr>
              <w:jc w:val="center"/>
              <w:rPr>
                <w:color w:val="000000"/>
                <w:lang w:val="pt-BR" w:eastAsia="pt-BR"/>
              </w:rPr>
            </w:pPr>
            <w:proofErr w:type="spellStart"/>
            <w:r>
              <w:rPr>
                <w:color w:val="000000"/>
                <w:lang w:val="pt-BR" w:eastAsia="pt-BR"/>
              </w:rPr>
              <w:t>Inlet</w:t>
            </w:r>
            <w:proofErr w:type="spellEnd"/>
            <w:r>
              <w:rPr>
                <w:color w:val="000000"/>
                <w:lang w:val="pt-BR" w:eastAsia="pt-BR"/>
              </w:rPr>
              <w:t xml:space="preserve"> </w:t>
            </w:r>
            <w:r w:rsidRPr="00CE6A80">
              <w:rPr>
                <w:color w:val="000000"/>
                <w:lang w:val="pt-BR" w:eastAsia="pt-BR"/>
              </w:rPr>
              <w:t>H</w:t>
            </w:r>
            <w:r w:rsidRPr="00CE6A80">
              <w:rPr>
                <w:color w:val="000000"/>
                <w:vertAlign w:val="subscript"/>
                <w:lang w:val="pt-BR" w:eastAsia="pt-BR"/>
              </w:rPr>
              <w:t>2</w:t>
            </w:r>
            <w:r w:rsidRPr="00CE6A80">
              <w:rPr>
                <w:color w:val="000000"/>
                <w:lang w:val="pt-BR" w:eastAsia="pt-BR"/>
              </w:rPr>
              <w:t xml:space="preserve">/CO </w:t>
            </w:r>
            <w:proofErr w:type="spellStart"/>
            <w:r w:rsidRPr="00CE6A80">
              <w:rPr>
                <w:color w:val="000000"/>
                <w:lang w:val="pt-BR" w:eastAsia="pt-BR"/>
              </w:rPr>
              <w:t>Ratio</w:t>
            </w:r>
            <w:proofErr w:type="spellEnd"/>
          </w:p>
        </w:tc>
      </w:tr>
      <w:tr w:rsidR="00CE6A80" w:rsidRPr="00CE6A80" w14:paraId="368167B7" w14:textId="77777777" w:rsidTr="00CE6A80">
        <w:trPr>
          <w:trHeight w:val="255"/>
          <w:jc w:val="center"/>
        </w:trPr>
        <w:tc>
          <w:tcPr>
            <w:tcW w:w="720" w:type="dxa"/>
            <w:tcBorders>
              <w:top w:val="single" w:sz="4" w:space="0" w:color="auto"/>
            </w:tcBorders>
            <w:shd w:val="clear" w:color="auto" w:fill="auto"/>
            <w:noWrap/>
            <w:vAlign w:val="bottom"/>
            <w:hideMark/>
          </w:tcPr>
          <w:p w14:paraId="7097A4D5" w14:textId="77777777" w:rsidR="00CE6A80" w:rsidRPr="00CE6A80" w:rsidRDefault="00CE6A80" w:rsidP="00CE6A80">
            <w:pPr>
              <w:jc w:val="center"/>
              <w:rPr>
                <w:color w:val="000000"/>
                <w:lang w:val="pt-BR" w:eastAsia="pt-BR"/>
              </w:rPr>
            </w:pPr>
            <w:r w:rsidRPr="00CE6A80">
              <w:rPr>
                <w:color w:val="000000"/>
                <w:lang w:val="pt-BR" w:eastAsia="pt-BR"/>
              </w:rPr>
              <w:t>Base</w:t>
            </w:r>
          </w:p>
        </w:tc>
        <w:tc>
          <w:tcPr>
            <w:tcW w:w="2110" w:type="dxa"/>
            <w:tcBorders>
              <w:top w:val="single" w:sz="4" w:space="0" w:color="auto"/>
            </w:tcBorders>
            <w:shd w:val="clear" w:color="000000" w:fill="FFFFFF"/>
            <w:noWrap/>
            <w:vAlign w:val="bottom"/>
            <w:hideMark/>
          </w:tcPr>
          <w:p w14:paraId="049B7266" w14:textId="77777777" w:rsidR="00CE6A80" w:rsidRPr="00CE6A80" w:rsidRDefault="00CE6A80" w:rsidP="00CE6A80">
            <w:pPr>
              <w:jc w:val="center"/>
              <w:rPr>
                <w:color w:val="000000"/>
                <w:lang w:val="pt-BR" w:eastAsia="pt-BR"/>
              </w:rPr>
            </w:pPr>
            <w:r w:rsidRPr="00CE6A80">
              <w:rPr>
                <w:color w:val="000000"/>
                <w:lang w:val="pt-BR" w:eastAsia="pt-BR"/>
              </w:rPr>
              <w:t>210</w:t>
            </w:r>
          </w:p>
        </w:tc>
        <w:tc>
          <w:tcPr>
            <w:tcW w:w="2552" w:type="dxa"/>
            <w:tcBorders>
              <w:top w:val="single" w:sz="4" w:space="0" w:color="auto"/>
            </w:tcBorders>
            <w:shd w:val="clear" w:color="000000" w:fill="FFFFFF"/>
            <w:noWrap/>
            <w:vAlign w:val="bottom"/>
            <w:hideMark/>
          </w:tcPr>
          <w:p w14:paraId="5A805FA3" w14:textId="75615C7A" w:rsidR="00CE6A80" w:rsidRPr="00CE6A80" w:rsidRDefault="00CE6A80" w:rsidP="00CE6A80">
            <w:pPr>
              <w:jc w:val="center"/>
              <w:rPr>
                <w:color w:val="000000"/>
                <w:lang w:val="pt-BR" w:eastAsia="pt-BR"/>
              </w:rPr>
            </w:pPr>
            <w:r w:rsidRPr="00CE6A80">
              <w:rPr>
                <w:color w:val="000000"/>
                <w:lang w:val="pt-BR" w:eastAsia="pt-BR"/>
              </w:rPr>
              <w:t>0</w:t>
            </w:r>
            <w:r>
              <w:rPr>
                <w:color w:val="000000"/>
                <w:lang w:val="pt-BR" w:eastAsia="pt-BR"/>
              </w:rPr>
              <w:t>.</w:t>
            </w:r>
            <w:r w:rsidRPr="00CE6A80">
              <w:rPr>
                <w:color w:val="000000"/>
                <w:lang w:val="pt-BR" w:eastAsia="pt-BR"/>
              </w:rPr>
              <w:t>5</w:t>
            </w:r>
          </w:p>
        </w:tc>
        <w:tc>
          <w:tcPr>
            <w:tcW w:w="1701" w:type="dxa"/>
            <w:tcBorders>
              <w:top w:val="single" w:sz="4" w:space="0" w:color="auto"/>
            </w:tcBorders>
            <w:shd w:val="clear" w:color="000000" w:fill="FFFFFF"/>
            <w:noWrap/>
            <w:vAlign w:val="bottom"/>
            <w:hideMark/>
          </w:tcPr>
          <w:p w14:paraId="09E1CCFB" w14:textId="77777777" w:rsidR="00CE6A80" w:rsidRPr="00CE6A80" w:rsidRDefault="00CE6A80" w:rsidP="00CE6A80">
            <w:pPr>
              <w:jc w:val="center"/>
              <w:rPr>
                <w:color w:val="000000"/>
                <w:lang w:val="pt-BR" w:eastAsia="pt-BR"/>
              </w:rPr>
            </w:pPr>
            <w:r w:rsidRPr="00CE6A80">
              <w:rPr>
                <w:color w:val="000000"/>
                <w:lang w:val="pt-BR" w:eastAsia="pt-BR"/>
              </w:rPr>
              <w:t>2:1</w:t>
            </w:r>
          </w:p>
        </w:tc>
      </w:tr>
      <w:tr w:rsidR="00CE6A80" w:rsidRPr="00CE6A80" w14:paraId="787A69A2" w14:textId="77777777" w:rsidTr="00CE6A80">
        <w:trPr>
          <w:trHeight w:val="255"/>
          <w:jc w:val="center"/>
        </w:trPr>
        <w:tc>
          <w:tcPr>
            <w:tcW w:w="720" w:type="dxa"/>
            <w:shd w:val="clear" w:color="000000" w:fill="FFFFFF"/>
            <w:noWrap/>
            <w:vAlign w:val="bottom"/>
            <w:hideMark/>
          </w:tcPr>
          <w:p w14:paraId="1D74A99B" w14:textId="77777777" w:rsidR="00CE6A80" w:rsidRPr="00CE6A80" w:rsidRDefault="00CE6A80" w:rsidP="00CE6A80">
            <w:pPr>
              <w:jc w:val="center"/>
              <w:rPr>
                <w:color w:val="000000"/>
                <w:lang w:val="pt-BR" w:eastAsia="pt-BR"/>
              </w:rPr>
            </w:pPr>
            <w:r w:rsidRPr="00CE6A80">
              <w:rPr>
                <w:color w:val="000000"/>
                <w:lang w:val="pt-BR" w:eastAsia="pt-BR"/>
              </w:rPr>
              <w:t>1</w:t>
            </w:r>
          </w:p>
        </w:tc>
        <w:tc>
          <w:tcPr>
            <w:tcW w:w="2110" w:type="dxa"/>
            <w:shd w:val="clear" w:color="000000" w:fill="FFFFFF"/>
            <w:noWrap/>
            <w:vAlign w:val="bottom"/>
            <w:hideMark/>
          </w:tcPr>
          <w:p w14:paraId="1F9B55C9" w14:textId="77777777" w:rsidR="00CE6A80" w:rsidRPr="00CE6A80" w:rsidRDefault="00CE6A80" w:rsidP="00CE6A80">
            <w:pPr>
              <w:jc w:val="center"/>
              <w:rPr>
                <w:color w:val="000000"/>
                <w:lang w:val="pt-BR" w:eastAsia="pt-BR"/>
              </w:rPr>
            </w:pPr>
            <w:r w:rsidRPr="00CE6A80">
              <w:rPr>
                <w:color w:val="000000"/>
                <w:lang w:val="pt-BR" w:eastAsia="pt-BR"/>
              </w:rPr>
              <w:t>205</w:t>
            </w:r>
          </w:p>
        </w:tc>
        <w:tc>
          <w:tcPr>
            <w:tcW w:w="2552" w:type="dxa"/>
            <w:shd w:val="clear" w:color="000000" w:fill="FFFFFF"/>
            <w:noWrap/>
            <w:vAlign w:val="bottom"/>
            <w:hideMark/>
          </w:tcPr>
          <w:p w14:paraId="2536B585" w14:textId="4712BB4B" w:rsidR="00CE6A80" w:rsidRPr="00CE6A80" w:rsidRDefault="00CE6A80" w:rsidP="00CE6A80">
            <w:pPr>
              <w:jc w:val="center"/>
              <w:rPr>
                <w:color w:val="000000"/>
                <w:lang w:val="pt-BR" w:eastAsia="pt-BR"/>
              </w:rPr>
            </w:pPr>
            <w:r w:rsidRPr="00CE6A80">
              <w:rPr>
                <w:color w:val="000000"/>
                <w:lang w:val="pt-BR" w:eastAsia="pt-BR"/>
              </w:rPr>
              <w:t>0</w:t>
            </w:r>
            <w:r>
              <w:rPr>
                <w:color w:val="000000"/>
                <w:lang w:val="pt-BR" w:eastAsia="pt-BR"/>
              </w:rPr>
              <w:t>.</w:t>
            </w:r>
            <w:r w:rsidRPr="00CE6A80">
              <w:rPr>
                <w:color w:val="000000"/>
                <w:lang w:val="pt-BR" w:eastAsia="pt-BR"/>
              </w:rPr>
              <w:t>5</w:t>
            </w:r>
          </w:p>
        </w:tc>
        <w:tc>
          <w:tcPr>
            <w:tcW w:w="1701" w:type="dxa"/>
            <w:shd w:val="clear" w:color="000000" w:fill="FFFFFF"/>
            <w:noWrap/>
            <w:vAlign w:val="bottom"/>
            <w:hideMark/>
          </w:tcPr>
          <w:p w14:paraId="3EDE7D51" w14:textId="77777777" w:rsidR="00CE6A80" w:rsidRPr="00CE6A80" w:rsidRDefault="00CE6A80" w:rsidP="00CE6A80">
            <w:pPr>
              <w:jc w:val="center"/>
              <w:rPr>
                <w:color w:val="000000"/>
                <w:lang w:val="pt-BR" w:eastAsia="pt-BR"/>
              </w:rPr>
            </w:pPr>
            <w:r w:rsidRPr="00CE6A80">
              <w:rPr>
                <w:color w:val="000000"/>
                <w:lang w:val="pt-BR" w:eastAsia="pt-BR"/>
              </w:rPr>
              <w:t>2:1</w:t>
            </w:r>
          </w:p>
        </w:tc>
      </w:tr>
      <w:tr w:rsidR="00CE6A80" w:rsidRPr="00CE6A80" w14:paraId="4D44A4F3" w14:textId="77777777" w:rsidTr="00CE6A80">
        <w:trPr>
          <w:trHeight w:val="255"/>
          <w:jc w:val="center"/>
        </w:trPr>
        <w:tc>
          <w:tcPr>
            <w:tcW w:w="720" w:type="dxa"/>
            <w:shd w:val="clear" w:color="000000" w:fill="FFFFFF"/>
            <w:noWrap/>
            <w:vAlign w:val="bottom"/>
            <w:hideMark/>
          </w:tcPr>
          <w:p w14:paraId="0B336A8F" w14:textId="77777777" w:rsidR="00CE6A80" w:rsidRPr="00CE6A80" w:rsidRDefault="00CE6A80" w:rsidP="00CE6A80">
            <w:pPr>
              <w:jc w:val="center"/>
              <w:rPr>
                <w:color w:val="000000"/>
                <w:lang w:val="pt-BR" w:eastAsia="pt-BR"/>
              </w:rPr>
            </w:pPr>
            <w:r w:rsidRPr="00CE6A80">
              <w:rPr>
                <w:color w:val="000000"/>
                <w:lang w:val="pt-BR" w:eastAsia="pt-BR"/>
              </w:rPr>
              <w:t>2</w:t>
            </w:r>
          </w:p>
        </w:tc>
        <w:tc>
          <w:tcPr>
            <w:tcW w:w="2110" w:type="dxa"/>
            <w:shd w:val="clear" w:color="000000" w:fill="FFFFFF"/>
            <w:noWrap/>
            <w:vAlign w:val="bottom"/>
            <w:hideMark/>
          </w:tcPr>
          <w:p w14:paraId="4E8BA96B" w14:textId="77777777" w:rsidR="00CE6A80" w:rsidRPr="00CE6A80" w:rsidRDefault="00CE6A80" w:rsidP="00CE6A80">
            <w:pPr>
              <w:jc w:val="center"/>
              <w:rPr>
                <w:color w:val="000000"/>
                <w:lang w:val="pt-BR" w:eastAsia="pt-BR"/>
              </w:rPr>
            </w:pPr>
            <w:r w:rsidRPr="00CE6A80">
              <w:rPr>
                <w:color w:val="000000"/>
                <w:lang w:val="pt-BR" w:eastAsia="pt-BR"/>
              </w:rPr>
              <w:t>215</w:t>
            </w:r>
          </w:p>
        </w:tc>
        <w:tc>
          <w:tcPr>
            <w:tcW w:w="2552" w:type="dxa"/>
            <w:shd w:val="clear" w:color="000000" w:fill="FFFFFF"/>
            <w:noWrap/>
            <w:vAlign w:val="bottom"/>
            <w:hideMark/>
          </w:tcPr>
          <w:p w14:paraId="5EEF53EC" w14:textId="2D5767A8" w:rsidR="00CE6A80" w:rsidRPr="00CE6A80" w:rsidRDefault="00CE6A80" w:rsidP="00CE6A80">
            <w:pPr>
              <w:jc w:val="center"/>
              <w:rPr>
                <w:color w:val="000000"/>
                <w:lang w:val="pt-BR" w:eastAsia="pt-BR"/>
              </w:rPr>
            </w:pPr>
            <w:r w:rsidRPr="00CE6A80">
              <w:rPr>
                <w:color w:val="000000"/>
                <w:lang w:val="pt-BR" w:eastAsia="pt-BR"/>
              </w:rPr>
              <w:t>0</w:t>
            </w:r>
            <w:r>
              <w:rPr>
                <w:color w:val="000000"/>
                <w:lang w:val="pt-BR" w:eastAsia="pt-BR"/>
              </w:rPr>
              <w:t>.</w:t>
            </w:r>
            <w:r w:rsidRPr="00CE6A80">
              <w:rPr>
                <w:color w:val="000000"/>
                <w:lang w:val="pt-BR" w:eastAsia="pt-BR"/>
              </w:rPr>
              <w:t>5</w:t>
            </w:r>
          </w:p>
        </w:tc>
        <w:tc>
          <w:tcPr>
            <w:tcW w:w="1701" w:type="dxa"/>
            <w:shd w:val="clear" w:color="000000" w:fill="FFFFFF"/>
            <w:noWrap/>
            <w:vAlign w:val="bottom"/>
            <w:hideMark/>
          </w:tcPr>
          <w:p w14:paraId="1E736DB6" w14:textId="77777777" w:rsidR="00CE6A80" w:rsidRPr="00CE6A80" w:rsidRDefault="00CE6A80" w:rsidP="00CE6A80">
            <w:pPr>
              <w:jc w:val="center"/>
              <w:rPr>
                <w:color w:val="000000"/>
                <w:lang w:val="pt-BR" w:eastAsia="pt-BR"/>
              </w:rPr>
            </w:pPr>
            <w:r w:rsidRPr="00CE6A80">
              <w:rPr>
                <w:color w:val="000000"/>
                <w:lang w:val="pt-BR" w:eastAsia="pt-BR"/>
              </w:rPr>
              <w:t>2:1</w:t>
            </w:r>
          </w:p>
        </w:tc>
      </w:tr>
      <w:tr w:rsidR="00CE6A80" w:rsidRPr="00CE6A80" w14:paraId="46AD6ACB" w14:textId="77777777" w:rsidTr="00CE6A80">
        <w:trPr>
          <w:trHeight w:val="255"/>
          <w:jc w:val="center"/>
        </w:trPr>
        <w:tc>
          <w:tcPr>
            <w:tcW w:w="720" w:type="dxa"/>
            <w:shd w:val="clear" w:color="000000" w:fill="FFFFFF"/>
            <w:noWrap/>
            <w:vAlign w:val="bottom"/>
            <w:hideMark/>
          </w:tcPr>
          <w:p w14:paraId="5D78E334" w14:textId="77777777" w:rsidR="00CE6A80" w:rsidRPr="00CE6A80" w:rsidRDefault="00CE6A80" w:rsidP="00CE6A80">
            <w:pPr>
              <w:jc w:val="center"/>
              <w:rPr>
                <w:color w:val="000000"/>
                <w:lang w:val="pt-BR" w:eastAsia="pt-BR"/>
              </w:rPr>
            </w:pPr>
            <w:r w:rsidRPr="00CE6A80">
              <w:rPr>
                <w:color w:val="000000"/>
                <w:lang w:val="pt-BR" w:eastAsia="pt-BR"/>
              </w:rPr>
              <w:t>3</w:t>
            </w:r>
          </w:p>
        </w:tc>
        <w:tc>
          <w:tcPr>
            <w:tcW w:w="2110" w:type="dxa"/>
            <w:shd w:val="clear" w:color="000000" w:fill="FFFFFF"/>
            <w:noWrap/>
            <w:vAlign w:val="bottom"/>
            <w:hideMark/>
          </w:tcPr>
          <w:p w14:paraId="01B1356F" w14:textId="77777777" w:rsidR="00CE6A80" w:rsidRPr="00CE6A80" w:rsidRDefault="00CE6A80" w:rsidP="00CE6A80">
            <w:pPr>
              <w:jc w:val="center"/>
              <w:rPr>
                <w:color w:val="000000"/>
                <w:lang w:val="pt-BR" w:eastAsia="pt-BR"/>
              </w:rPr>
            </w:pPr>
            <w:r w:rsidRPr="00CE6A80">
              <w:rPr>
                <w:color w:val="000000"/>
                <w:lang w:val="pt-BR" w:eastAsia="pt-BR"/>
              </w:rPr>
              <w:t>210</w:t>
            </w:r>
          </w:p>
        </w:tc>
        <w:tc>
          <w:tcPr>
            <w:tcW w:w="2552" w:type="dxa"/>
            <w:shd w:val="clear" w:color="000000" w:fill="FFFFFF"/>
            <w:noWrap/>
            <w:vAlign w:val="bottom"/>
            <w:hideMark/>
          </w:tcPr>
          <w:p w14:paraId="065B9A40" w14:textId="14964052" w:rsidR="00CE6A80" w:rsidRPr="00CE6A80" w:rsidRDefault="00CE6A80" w:rsidP="00CE6A80">
            <w:pPr>
              <w:jc w:val="center"/>
              <w:rPr>
                <w:color w:val="000000"/>
                <w:lang w:val="pt-BR" w:eastAsia="pt-BR"/>
              </w:rPr>
            </w:pPr>
            <w:r w:rsidRPr="00CE6A80">
              <w:rPr>
                <w:color w:val="000000"/>
                <w:lang w:val="pt-BR" w:eastAsia="pt-BR"/>
              </w:rPr>
              <w:t>0</w:t>
            </w:r>
            <w:r>
              <w:rPr>
                <w:color w:val="000000"/>
                <w:lang w:val="pt-BR" w:eastAsia="pt-BR"/>
              </w:rPr>
              <w:t>.</w:t>
            </w:r>
            <w:r w:rsidRPr="00CE6A80">
              <w:rPr>
                <w:color w:val="000000"/>
                <w:lang w:val="pt-BR" w:eastAsia="pt-BR"/>
              </w:rPr>
              <w:t>25</w:t>
            </w:r>
          </w:p>
        </w:tc>
        <w:tc>
          <w:tcPr>
            <w:tcW w:w="1701" w:type="dxa"/>
            <w:shd w:val="clear" w:color="000000" w:fill="FFFFFF"/>
            <w:noWrap/>
            <w:vAlign w:val="bottom"/>
            <w:hideMark/>
          </w:tcPr>
          <w:p w14:paraId="03394234" w14:textId="77777777" w:rsidR="00CE6A80" w:rsidRPr="00CE6A80" w:rsidRDefault="00CE6A80" w:rsidP="00CE6A80">
            <w:pPr>
              <w:jc w:val="center"/>
              <w:rPr>
                <w:color w:val="000000"/>
                <w:lang w:val="pt-BR" w:eastAsia="pt-BR"/>
              </w:rPr>
            </w:pPr>
            <w:r w:rsidRPr="00CE6A80">
              <w:rPr>
                <w:color w:val="000000"/>
                <w:lang w:val="pt-BR" w:eastAsia="pt-BR"/>
              </w:rPr>
              <w:t>2:1</w:t>
            </w:r>
          </w:p>
        </w:tc>
      </w:tr>
      <w:tr w:rsidR="00CE6A80" w:rsidRPr="00CE6A80" w14:paraId="49D10DE0" w14:textId="77777777" w:rsidTr="00CE6A80">
        <w:trPr>
          <w:trHeight w:val="255"/>
          <w:jc w:val="center"/>
        </w:trPr>
        <w:tc>
          <w:tcPr>
            <w:tcW w:w="720" w:type="dxa"/>
            <w:shd w:val="clear" w:color="000000" w:fill="FFFFFF"/>
            <w:noWrap/>
            <w:vAlign w:val="bottom"/>
            <w:hideMark/>
          </w:tcPr>
          <w:p w14:paraId="05E6DB40" w14:textId="77777777" w:rsidR="00CE6A80" w:rsidRPr="00CE6A80" w:rsidRDefault="00CE6A80" w:rsidP="00CE6A80">
            <w:pPr>
              <w:jc w:val="center"/>
              <w:rPr>
                <w:color w:val="000000"/>
                <w:lang w:val="pt-BR" w:eastAsia="pt-BR"/>
              </w:rPr>
            </w:pPr>
            <w:r w:rsidRPr="00CE6A80">
              <w:rPr>
                <w:color w:val="000000"/>
                <w:lang w:val="pt-BR" w:eastAsia="pt-BR"/>
              </w:rPr>
              <w:t>4</w:t>
            </w:r>
          </w:p>
        </w:tc>
        <w:tc>
          <w:tcPr>
            <w:tcW w:w="2110" w:type="dxa"/>
            <w:shd w:val="clear" w:color="000000" w:fill="FFFFFF"/>
            <w:noWrap/>
            <w:vAlign w:val="bottom"/>
            <w:hideMark/>
          </w:tcPr>
          <w:p w14:paraId="0475E040" w14:textId="77777777" w:rsidR="00CE6A80" w:rsidRPr="00CE6A80" w:rsidRDefault="00CE6A80" w:rsidP="00CE6A80">
            <w:pPr>
              <w:jc w:val="center"/>
              <w:rPr>
                <w:color w:val="000000"/>
                <w:lang w:val="pt-BR" w:eastAsia="pt-BR"/>
              </w:rPr>
            </w:pPr>
            <w:r w:rsidRPr="00CE6A80">
              <w:rPr>
                <w:color w:val="000000"/>
                <w:lang w:val="pt-BR" w:eastAsia="pt-BR"/>
              </w:rPr>
              <w:t>210</w:t>
            </w:r>
          </w:p>
        </w:tc>
        <w:tc>
          <w:tcPr>
            <w:tcW w:w="2552" w:type="dxa"/>
            <w:shd w:val="clear" w:color="000000" w:fill="FFFFFF"/>
            <w:noWrap/>
            <w:vAlign w:val="bottom"/>
            <w:hideMark/>
          </w:tcPr>
          <w:p w14:paraId="39289AFE" w14:textId="77777777" w:rsidR="00CE6A80" w:rsidRPr="00CE6A80" w:rsidRDefault="00CE6A80" w:rsidP="00CE6A80">
            <w:pPr>
              <w:jc w:val="center"/>
              <w:rPr>
                <w:color w:val="000000"/>
                <w:lang w:val="pt-BR" w:eastAsia="pt-BR"/>
              </w:rPr>
            </w:pPr>
            <w:r w:rsidRPr="00CE6A80">
              <w:rPr>
                <w:color w:val="000000"/>
                <w:lang w:val="pt-BR" w:eastAsia="pt-BR"/>
              </w:rPr>
              <w:t>1</w:t>
            </w:r>
          </w:p>
        </w:tc>
        <w:tc>
          <w:tcPr>
            <w:tcW w:w="1701" w:type="dxa"/>
            <w:shd w:val="clear" w:color="000000" w:fill="FFFFFF"/>
            <w:noWrap/>
            <w:vAlign w:val="bottom"/>
            <w:hideMark/>
          </w:tcPr>
          <w:p w14:paraId="65CECE66" w14:textId="77777777" w:rsidR="00CE6A80" w:rsidRPr="00CE6A80" w:rsidRDefault="00CE6A80" w:rsidP="00CE6A80">
            <w:pPr>
              <w:jc w:val="center"/>
              <w:rPr>
                <w:color w:val="000000"/>
                <w:lang w:val="pt-BR" w:eastAsia="pt-BR"/>
              </w:rPr>
            </w:pPr>
            <w:r w:rsidRPr="00CE6A80">
              <w:rPr>
                <w:color w:val="000000"/>
                <w:lang w:val="pt-BR" w:eastAsia="pt-BR"/>
              </w:rPr>
              <w:t>2:1</w:t>
            </w:r>
          </w:p>
        </w:tc>
      </w:tr>
      <w:tr w:rsidR="00CE6A80" w:rsidRPr="00CE6A80" w14:paraId="196024B5" w14:textId="77777777" w:rsidTr="00CE6A80">
        <w:trPr>
          <w:trHeight w:val="255"/>
          <w:jc w:val="center"/>
        </w:trPr>
        <w:tc>
          <w:tcPr>
            <w:tcW w:w="720" w:type="dxa"/>
            <w:shd w:val="clear" w:color="000000" w:fill="FFFFFF"/>
            <w:noWrap/>
            <w:vAlign w:val="bottom"/>
            <w:hideMark/>
          </w:tcPr>
          <w:p w14:paraId="740E16A6" w14:textId="77777777" w:rsidR="00CE6A80" w:rsidRPr="00CE6A80" w:rsidRDefault="00CE6A80" w:rsidP="00CE6A80">
            <w:pPr>
              <w:jc w:val="center"/>
              <w:rPr>
                <w:color w:val="000000"/>
                <w:lang w:val="pt-BR" w:eastAsia="pt-BR"/>
              </w:rPr>
            </w:pPr>
            <w:r w:rsidRPr="00CE6A80">
              <w:rPr>
                <w:color w:val="000000"/>
                <w:lang w:val="pt-BR" w:eastAsia="pt-BR"/>
              </w:rPr>
              <w:t>5</w:t>
            </w:r>
          </w:p>
        </w:tc>
        <w:tc>
          <w:tcPr>
            <w:tcW w:w="2110" w:type="dxa"/>
            <w:shd w:val="clear" w:color="000000" w:fill="FFFFFF"/>
            <w:noWrap/>
            <w:vAlign w:val="bottom"/>
            <w:hideMark/>
          </w:tcPr>
          <w:p w14:paraId="5B87DB0F" w14:textId="77777777" w:rsidR="00CE6A80" w:rsidRPr="00CE6A80" w:rsidRDefault="00CE6A80" w:rsidP="00CE6A80">
            <w:pPr>
              <w:jc w:val="center"/>
              <w:rPr>
                <w:color w:val="000000"/>
                <w:lang w:val="pt-BR" w:eastAsia="pt-BR"/>
              </w:rPr>
            </w:pPr>
            <w:r w:rsidRPr="00CE6A80">
              <w:rPr>
                <w:color w:val="000000"/>
                <w:lang w:val="pt-BR" w:eastAsia="pt-BR"/>
              </w:rPr>
              <w:t>210</w:t>
            </w:r>
          </w:p>
        </w:tc>
        <w:tc>
          <w:tcPr>
            <w:tcW w:w="2552" w:type="dxa"/>
            <w:shd w:val="clear" w:color="000000" w:fill="FFFFFF"/>
            <w:noWrap/>
            <w:vAlign w:val="bottom"/>
            <w:hideMark/>
          </w:tcPr>
          <w:p w14:paraId="05EBB8ED" w14:textId="7EB7D978" w:rsidR="00CE6A80" w:rsidRPr="00CE6A80" w:rsidRDefault="00CE6A80" w:rsidP="00CE6A80">
            <w:pPr>
              <w:jc w:val="center"/>
              <w:rPr>
                <w:color w:val="000000"/>
                <w:lang w:val="pt-BR" w:eastAsia="pt-BR"/>
              </w:rPr>
            </w:pPr>
            <w:r w:rsidRPr="00CE6A80">
              <w:rPr>
                <w:color w:val="000000"/>
                <w:lang w:val="pt-BR" w:eastAsia="pt-BR"/>
              </w:rPr>
              <w:t>0</w:t>
            </w:r>
            <w:r>
              <w:rPr>
                <w:color w:val="000000"/>
                <w:lang w:val="pt-BR" w:eastAsia="pt-BR"/>
              </w:rPr>
              <w:t>.</w:t>
            </w:r>
            <w:r w:rsidRPr="00CE6A80">
              <w:rPr>
                <w:color w:val="000000"/>
                <w:lang w:val="pt-BR" w:eastAsia="pt-BR"/>
              </w:rPr>
              <w:t>5</w:t>
            </w:r>
          </w:p>
        </w:tc>
        <w:tc>
          <w:tcPr>
            <w:tcW w:w="1701" w:type="dxa"/>
            <w:shd w:val="clear" w:color="000000" w:fill="FFFFFF"/>
            <w:noWrap/>
            <w:vAlign w:val="bottom"/>
            <w:hideMark/>
          </w:tcPr>
          <w:p w14:paraId="3F2213D8" w14:textId="77777777" w:rsidR="00CE6A80" w:rsidRPr="00CE6A80" w:rsidRDefault="00CE6A80" w:rsidP="00CE6A80">
            <w:pPr>
              <w:jc w:val="center"/>
              <w:rPr>
                <w:color w:val="000000"/>
                <w:lang w:val="pt-BR" w:eastAsia="pt-BR"/>
              </w:rPr>
            </w:pPr>
            <w:r w:rsidRPr="00CE6A80">
              <w:rPr>
                <w:color w:val="000000"/>
                <w:lang w:val="pt-BR" w:eastAsia="pt-BR"/>
              </w:rPr>
              <w:t>1:1</w:t>
            </w:r>
          </w:p>
        </w:tc>
      </w:tr>
      <w:tr w:rsidR="00CE6A80" w:rsidRPr="00CE6A80" w14:paraId="25CBC668" w14:textId="77777777" w:rsidTr="00CE6A80">
        <w:trPr>
          <w:trHeight w:val="255"/>
          <w:jc w:val="center"/>
        </w:trPr>
        <w:tc>
          <w:tcPr>
            <w:tcW w:w="720" w:type="dxa"/>
            <w:tcBorders>
              <w:bottom w:val="single" w:sz="4" w:space="0" w:color="auto"/>
            </w:tcBorders>
            <w:shd w:val="clear" w:color="000000" w:fill="FFFFFF"/>
            <w:noWrap/>
            <w:vAlign w:val="bottom"/>
            <w:hideMark/>
          </w:tcPr>
          <w:p w14:paraId="186CE210" w14:textId="77777777" w:rsidR="00CE6A80" w:rsidRPr="00CE6A80" w:rsidRDefault="00CE6A80" w:rsidP="00CE6A80">
            <w:pPr>
              <w:jc w:val="center"/>
              <w:rPr>
                <w:color w:val="000000"/>
                <w:lang w:val="pt-BR" w:eastAsia="pt-BR"/>
              </w:rPr>
            </w:pPr>
            <w:r w:rsidRPr="00CE6A80">
              <w:rPr>
                <w:color w:val="000000"/>
                <w:lang w:val="pt-BR" w:eastAsia="pt-BR"/>
              </w:rPr>
              <w:t>6</w:t>
            </w:r>
          </w:p>
        </w:tc>
        <w:tc>
          <w:tcPr>
            <w:tcW w:w="2110" w:type="dxa"/>
            <w:tcBorders>
              <w:bottom w:val="single" w:sz="4" w:space="0" w:color="auto"/>
            </w:tcBorders>
            <w:shd w:val="clear" w:color="000000" w:fill="FFFFFF"/>
            <w:noWrap/>
            <w:vAlign w:val="bottom"/>
            <w:hideMark/>
          </w:tcPr>
          <w:p w14:paraId="24293D08" w14:textId="77777777" w:rsidR="00CE6A80" w:rsidRPr="00CE6A80" w:rsidRDefault="00CE6A80" w:rsidP="00CE6A80">
            <w:pPr>
              <w:jc w:val="center"/>
              <w:rPr>
                <w:color w:val="000000"/>
                <w:lang w:val="pt-BR" w:eastAsia="pt-BR"/>
              </w:rPr>
            </w:pPr>
            <w:r w:rsidRPr="00CE6A80">
              <w:rPr>
                <w:color w:val="000000"/>
                <w:lang w:val="pt-BR" w:eastAsia="pt-BR"/>
              </w:rPr>
              <w:t>210</w:t>
            </w:r>
          </w:p>
        </w:tc>
        <w:tc>
          <w:tcPr>
            <w:tcW w:w="2552" w:type="dxa"/>
            <w:tcBorders>
              <w:bottom w:val="single" w:sz="4" w:space="0" w:color="auto"/>
            </w:tcBorders>
            <w:shd w:val="clear" w:color="000000" w:fill="FFFFFF"/>
            <w:noWrap/>
            <w:vAlign w:val="bottom"/>
            <w:hideMark/>
          </w:tcPr>
          <w:p w14:paraId="5D171EBE" w14:textId="38D90007" w:rsidR="00CE6A80" w:rsidRPr="00CE6A80" w:rsidRDefault="00CE6A80" w:rsidP="00CE6A80">
            <w:pPr>
              <w:jc w:val="center"/>
              <w:rPr>
                <w:color w:val="000000"/>
                <w:lang w:val="pt-BR" w:eastAsia="pt-BR"/>
              </w:rPr>
            </w:pPr>
            <w:r w:rsidRPr="00CE6A80">
              <w:rPr>
                <w:color w:val="000000"/>
                <w:lang w:val="pt-BR" w:eastAsia="pt-BR"/>
              </w:rPr>
              <w:t>0</w:t>
            </w:r>
            <w:r>
              <w:rPr>
                <w:color w:val="000000"/>
                <w:lang w:val="pt-BR" w:eastAsia="pt-BR"/>
              </w:rPr>
              <w:t>.</w:t>
            </w:r>
            <w:r w:rsidRPr="00CE6A80">
              <w:rPr>
                <w:color w:val="000000"/>
                <w:lang w:val="pt-BR" w:eastAsia="pt-BR"/>
              </w:rPr>
              <w:t>5</w:t>
            </w:r>
          </w:p>
        </w:tc>
        <w:tc>
          <w:tcPr>
            <w:tcW w:w="1701" w:type="dxa"/>
            <w:tcBorders>
              <w:bottom w:val="single" w:sz="4" w:space="0" w:color="auto"/>
            </w:tcBorders>
            <w:shd w:val="clear" w:color="000000" w:fill="FFFFFF"/>
            <w:noWrap/>
            <w:vAlign w:val="bottom"/>
            <w:hideMark/>
          </w:tcPr>
          <w:p w14:paraId="5B0339C3" w14:textId="77777777" w:rsidR="00CE6A80" w:rsidRPr="00CE6A80" w:rsidRDefault="00CE6A80" w:rsidP="00CE6A80">
            <w:pPr>
              <w:jc w:val="center"/>
              <w:rPr>
                <w:color w:val="000000"/>
                <w:lang w:val="pt-BR" w:eastAsia="pt-BR"/>
              </w:rPr>
            </w:pPr>
            <w:r w:rsidRPr="00CE6A80">
              <w:rPr>
                <w:color w:val="000000"/>
                <w:lang w:val="pt-BR" w:eastAsia="pt-BR"/>
              </w:rPr>
              <w:t>3:1</w:t>
            </w:r>
          </w:p>
        </w:tc>
      </w:tr>
    </w:tbl>
    <w:p w14:paraId="64F4CD9C" w14:textId="77777777" w:rsidR="00DB352B" w:rsidRDefault="00DB352B" w:rsidP="00DB352B">
      <w:pPr>
        <w:pStyle w:val="Els-body-text"/>
        <w:spacing w:line="264" w:lineRule="auto"/>
        <w:rPr>
          <w:lang w:val="en-GB"/>
        </w:rPr>
      </w:pPr>
    </w:p>
    <w:p w14:paraId="65B26E50" w14:textId="2C8402B2" w:rsidR="008E1E3B" w:rsidRPr="00C64B66" w:rsidRDefault="00285AED" w:rsidP="00C64B66">
      <w:pPr>
        <w:pStyle w:val="Els-body-text"/>
        <w:spacing w:line="264" w:lineRule="auto"/>
      </w:pPr>
      <w:proofErr w:type="spellStart"/>
      <w:r>
        <w:rPr>
          <w:lang w:val="en-GB"/>
        </w:rPr>
        <w:t>Furhermore</w:t>
      </w:r>
      <w:proofErr w:type="spellEnd"/>
      <w:r w:rsidR="008E1E3B" w:rsidRPr="008E1E3B">
        <w:rPr>
          <w:lang w:val="en-GB"/>
        </w:rPr>
        <w:t>, due to the high exothermicity of the reaction, operating at wall temperatures lower than those of the syngas is imperative to prevent thermal runaways, which excessively raise the fluid temperature and cause numerical instabilities in the final solution of the model.</w:t>
      </w:r>
      <w:r w:rsidR="008E1E3B">
        <w:rPr>
          <w:lang w:val="en-GB"/>
        </w:rPr>
        <w:t xml:space="preserve"> Figure 1 shows the variations</w:t>
      </w:r>
      <w:r w:rsidR="00265682">
        <w:rPr>
          <w:lang w:val="en-GB"/>
        </w:rPr>
        <w:t xml:space="preserve"> </w:t>
      </w:r>
      <w:r w:rsidR="008E1E3B">
        <w:rPr>
          <w:lang w:val="en-GB"/>
        </w:rPr>
        <w:t xml:space="preserve">in the profiles of the base case for the CO flow-rate, C5+ hydrocarbons flow-rate and temperature in respect with the reactor length considering four different times. </w:t>
      </w:r>
      <w:r w:rsidR="00C64B66">
        <w:rPr>
          <w:lang w:val="en-GB"/>
        </w:rPr>
        <w:t>Specifically</w:t>
      </w:r>
      <w:r w:rsidR="008E1E3B">
        <w:rPr>
          <w:lang w:val="en-GB"/>
        </w:rPr>
        <w:t xml:space="preserve"> for this case, steady-state operation was achieved at 4</w:t>
      </w:r>
      <w:r w:rsidR="00A86DFB">
        <w:rPr>
          <w:lang w:val="en-GB"/>
        </w:rPr>
        <w:t>4</w:t>
      </w:r>
      <w:r w:rsidR="008E1E3B">
        <w:rPr>
          <w:lang w:val="en-GB"/>
        </w:rPr>
        <w:t xml:space="preserve"> s.</w:t>
      </w:r>
    </w:p>
    <w:p w14:paraId="7322EC00" w14:textId="77777777" w:rsidR="00FE28AC" w:rsidRDefault="00FE28AC" w:rsidP="008D2649">
      <w:pPr>
        <w:pStyle w:val="Els-body-text"/>
        <w:rPr>
          <w:lang w:val="en-GB"/>
        </w:rPr>
      </w:pPr>
    </w:p>
    <w:p w14:paraId="4B611368" w14:textId="595E47F8" w:rsidR="008E1E3B" w:rsidRDefault="00067D51" w:rsidP="00A86DFB">
      <w:pPr>
        <w:pStyle w:val="Els-body-text"/>
        <w:jc w:val="center"/>
        <w:rPr>
          <w:lang w:val="en-GB"/>
        </w:rPr>
      </w:pPr>
      <w:r w:rsidRPr="00067D51">
        <w:rPr>
          <w:noProof/>
          <w:lang w:val="en-GB"/>
        </w:rPr>
        <w:drawing>
          <wp:inline distT="0" distB="0" distL="0" distR="0" wp14:anchorId="10FBE8A3" wp14:editId="3D2DD54C">
            <wp:extent cx="4607626" cy="3105563"/>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39026" cy="3126727"/>
                    </a:xfrm>
                    <a:prstGeom prst="rect">
                      <a:avLst/>
                    </a:prstGeom>
                  </pic:spPr>
                </pic:pic>
              </a:graphicData>
            </a:graphic>
          </wp:inline>
        </w:drawing>
      </w:r>
    </w:p>
    <w:p w14:paraId="6209F3C8" w14:textId="11937082" w:rsidR="008E1E3B" w:rsidRPr="009017CA" w:rsidRDefault="00FE28AC" w:rsidP="00B031E3">
      <w:pPr>
        <w:pStyle w:val="Els-body-text"/>
        <w:spacing w:before="120" w:after="120"/>
        <w:jc w:val="center"/>
      </w:pPr>
      <w:r>
        <w:t>Figure 1. Simulated profiles for the base scenario considering four different times.</w:t>
      </w:r>
    </w:p>
    <w:p w14:paraId="0378F59E" w14:textId="248FF58B" w:rsidR="008E1E3B" w:rsidRDefault="0049726E" w:rsidP="008D2649">
      <w:pPr>
        <w:pStyle w:val="Els-body-text"/>
        <w:rPr>
          <w:lang w:val="en-GB"/>
        </w:rPr>
      </w:pPr>
      <w:r w:rsidRPr="0049726E">
        <w:rPr>
          <w:lang w:val="en-GB"/>
        </w:rPr>
        <w:t xml:space="preserve">It </w:t>
      </w:r>
      <w:r w:rsidR="00F85225">
        <w:rPr>
          <w:lang w:val="en-GB"/>
        </w:rPr>
        <w:t>can</w:t>
      </w:r>
      <w:r w:rsidRPr="0049726E">
        <w:rPr>
          <w:lang w:val="en-GB"/>
        </w:rPr>
        <w:t xml:space="preserve"> be noted that the system behaves as</w:t>
      </w:r>
      <w:r w:rsidR="00265682">
        <w:rPr>
          <w:lang w:val="en-GB"/>
        </w:rPr>
        <w:t xml:space="preserve"> it would be</w:t>
      </w:r>
      <w:r w:rsidRPr="0049726E">
        <w:rPr>
          <w:lang w:val="en-GB"/>
        </w:rPr>
        <w:t xml:space="preserve"> expected. In the initial seconds, while the temperature is low and still stabilizing, no reaction is observed in the system, only the passage of CO through the tube. The first product fractions alongside the axial length are observed after the </w:t>
      </w:r>
      <w:r w:rsidR="00F85225">
        <w:rPr>
          <w:lang w:val="en-GB"/>
        </w:rPr>
        <w:t>bed</w:t>
      </w:r>
      <w:r w:rsidRPr="0049726E">
        <w:rPr>
          <w:lang w:val="en-GB"/>
        </w:rPr>
        <w:t xml:space="preserve"> reaches approximately 180 °C. The reactor then continues to heat, not only due to the energy transfer between the wall and the bed but also because of the heat released by the reaction, until it is thermally stable. Eventually, </w:t>
      </w:r>
      <w:r w:rsidRPr="0049726E">
        <w:rPr>
          <w:lang w:val="en-GB"/>
        </w:rPr>
        <w:lastRenderedPageBreak/>
        <w:t xml:space="preserve">with the </w:t>
      </w:r>
      <w:r w:rsidR="00F85225">
        <w:rPr>
          <w:lang w:val="en-GB"/>
        </w:rPr>
        <w:t>interior</w:t>
      </w:r>
      <w:r w:rsidRPr="0049726E">
        <w:rPr>
          <w:lang w:val="en-GB"/>
        </w:rPr>
        <w:t xml:space="preserve"> temperature stabilized, the system evolves for a few more seconds until it reaches steady-state, with the flow rates of reactants and products stabilizing along the reactor.</w:t>
      </w:r>
      <w:r>
        <w:rPr>
          <w:lang w:val="en-GB"/>
        </w:rPr>
        <w:t xml:space="preserve"> Table 3 summarizes the final results obtained during the sensitivity analysis. The ‘SS’, ‘X</w:t>
      </w:r>
      <w:r>
        <w:rPr>
          <w:vertAlign w:val="subscript"/>
          <w:lang w:val="en-GB"/>
        </w:rPr>
        <w:t>CO</w:t>
      </w:r>
      <w:r>
        <w:rPr>
          <w:lang w:val="en-GB"/>
        </w:rPr>
        <w:t>’ and ‘S’ abbreviatures address the time required for the system to reach the steady-state operation, CO conversion and product selectivity</w:t>
      </w:r>
      <w:r w:rsidR="002441A8">
        <w:rPr>
          <w:lang w:val="en-GB"/>
        </w:rPr>
        <w:t xml:space="preserve"> for the specified hydrocarbon chain length</w:t>
      </w:r>
      <w:r>
        <w:rPr>
          <w:lang w:val="en-GB"/>
        </w:rPr>
        <w:t>, respectively.</w:t>
      </w:r>
    </w:p>
    <w:p w14:paraId="19C3FF5C" w14:textId="77777777" w:rsidR="00EC7577" w:rsidRDefault="00EC7577" w:rsidP="008D2649">
      <w:pPr>
        <w:pStyle w:val="Els-body-text"/>
        <w:rPr>
          <w:lang w:val="en-GB"/>
        </w:rPr>
      </w:pPr>
    </w:p>
    <w:p w14:paraId="6CFDDF4C" w14:textId="2F3ED8EA" w:rsidR="00260081" w:rsidRPr="0049726E" w:rsidRDefault="0049726E" w:rsidP="0049726E">
      <w:pPr>
        <w:pStyle w:val="Els-body-text"/>
        <w:spacing w:before="120" w:after="120"/>
        <w:jc w:val="center"/>
      </w:pPr>
      <w:r>
        <w:t>Table 3. Overall results obtained in the sensitivity analysis.</w:t>
      </w:r>
    </w:p>
    <w:tbl>
      <w:tblPr>
        <w:tblW w:w="7083" w:type="dxa"/>
        <w:tblCellMar>
          <w:left w:w="70" w:type="dxa"/>
          <w:right w:w="70" w:type="dxa"/>
        </w:tblCellMar>
        <w:tblLook w:val="04A0" w:firstRow="1" w:lastRow="0" w:firstColumn="1" w:lastColumn="0" w:noHBand="0" w:noVBand="1"/>
      </w:tblPr>
      <w:tblGrid>
        <w:gridCol w:w="529"/>
        <w:gridCol w:w="742"/>
        <w:gridCol w:w="992"/>
        <w:gridCol w:w="993"/>
        <w:gridCol w:w="1275"/>
        <w:gridCol w:w="1418"/>
        <w:gridCol w:w="1134"/>
      </w:tblGrid>
      <w:tr w:rsidR="0049726E" w:rsidRPr="0049726E" w14:paraId="7A5A0CFC" w14:textId="77777777" w:rsidTr="0049726E">
        <w:trPr>
          <w:trHeight w:val="255"/>
        </w:trPr>
        <w:tc>
          <w:tcPr>
            <w:tcW w:w="529" w:type="dxa"/>
            <w:tcBorders>
              <w:top w:val="single" w:sz="4" w:space="0" w:color="auto"/>
              <w:bottom w:val="single" w:sz="4" w:space="0" w:color="auto"/>
            </w:tcBorders>
            <w:shd w:val="clear" w:color="auto" w:fill="auto"/>
            <w:noWrap/>
            <w:vAlign w:val="center"/>
            <w:hideMark/>
          </w:tcPr>
          <w:p w14:paraId="48F84990" w14:textId="77777777" w:rsidR="0049726E" w:rsidRPr="0049726E" w:rsidRDefault="0049726E" w:rsidP="0049726E">
            <w:pPr>
              <w:jc w:val="center"/>
              <w:rPr>
                <w:color w:val="000000"/>
                <w:lang w:val="pt-BR" w:eastAsia="pt-BR"/>
              </w:rPr>
            </w:pPr>
            <w:r w:rsidRPr="0049726E">
              <w:rPr>
                <w:color w:val="000000"/>
                <w:lang w:val="pt-BR" w:eastAsia="pt-BR"/>
              </w:rPr>
              <w:t>Case</w:t>
            </w:r>
          </w:p>
        </w:tc>
        <w:tc>
          <w:tcPr>
            <w:tcW w:w="742" w:type="dxa"/>
            <w:tcBorders>
              <w:top w:val="single" w:sz="4" w:space="0" w:color="auto"/>
              <w:bottom w:val="single" w:sz="4" w:space="0" w:color="auto"/>
            </w:tcBorders>
            <w:shd w:val="clear" w:color="auto" w:fill="auto"/>
            <w:noWrap/>
            <w:vAlign w:val="center"/>
            <w:hideMark/>
          </w:tcPr>
          <w:p w14:paraId="782AFDCA" w14:textId="4F9C11CF" w:rsidR="0049726E" w:rsidRPr="0049726E" w:rsidRDefault="0049726E" w:rsidP="0049726E">
            <w:pPr>
              <w:jc w:val="center"/>
              <w:rPr>
                <w:color w:val="000000"/>
                <w:lang w:val="en-US" w:eastAsia="pt-BR"/>
              </w:rPr>
            </w:pPr>
            <w:r>
              <w:rPr>
                <w:color w:val="000000"/>
                <w:lang w:val="en-US" w:eastAsia="pt-BR"/>
              </w:rPr>
              <w:t>SS</w:t>
            </w:r>
            <w:r w:rsidRPr="0049726E">
              <w:rPr>
                <w:color w:val="000000"/>
                <w:lang w:val="en-US" w:eastAsia="pt-BR"/>
              </w:rPr>
              <w:t xml:space="preserve"> (s)</w:t>
            </w:r>
          </w:p>
        </w:tc>
        <w:tc>
          <w:tcPr>
            <w:tcW w:w="992" w:type="dxa"/>
            <w:tcBorders>
              <w:top w:val="single" w:sz="4" w:space="0" w:color="auto"/>
              <w:bottom w:val="single" w:sz="4" w:space="0" w:color="auto"/>
            </w:tcBorders>
            <w:shd w:val="clear" w:color="auto" w:fill="auto"/>
            <w:noWrap/>
            <w:vAlign w:val="center"/>
            <w:hideMark/>
          </w:tcPr>
          <w:p w14:paraId="24571E7A" w14:textId="41A2F548" w:rsidR="0049726E" w:rsidRPr="0049726E" w:rsidRDefault="0049726E" w:rsidP="0049726E">
            <w:pPr>
              <w:jc w:val="center"/>
              <w:rPr>
                <w:color w:val="000000"/>
                <w:lang w:val="pt-BR" w:eastAsia="pt-BR"/>
              </w:rPr>
            </w:pPr>
            <w:r>
              <w:rPr>
                <w:color w:val="000000"/>
                <w:lang w:val="pt-BR" w:eastAsia="pt-BR"/>
              </w:rPr>
              <w:t>X</w:t>
            </w:r>
            <w:r>
              <w:rPr>
                <w:color w:val="000000"/>
                <w:vertAlign w:val="subscript"/>
                <w:lang w:val="pt-BR" w:eastAsia="pt-BR"/>
              </w:rPr>
              <w:t>CO</w:t>
            </w:r>
            <w:r w:rsidRPr="0049726E">
              <w:rPr>
                <w:color w:val="000000"/>
                <w:lang w:val="pt-BR" w:eastAsia="pt-BR"/>
              </w:rPr>
              <w:t xml:space="preserve"> (%)</w:t>
            </w:r>
          </w:p>
        </w:tc>
        <w:tc>
          <w:tcPr>
            <w:tcW w:w="993" w:type="dxa"/>
            <w:tcBorders>
              <w:top w:val="single" w:sz="4" w:space="0" w:color="auto"/>
              <w:bottom w:val="single" w:sz="4" w:space="0" w:color="auto"/>
            </w:tcBorders>
            <w:shd w:val="clear" w:color="auto" w:fill="auto"/>
            <w:noWrap/>
            <w:vAlign w:val="center"/>
            <w:hideMark/>
          </w:tcPr>
          <w:p w14:paraId="3D38FDF8" w14:textId="2601B80E" w:rsidR="0049726E" w:rsidRPr="0049726E" w:rsidRDefault="0049726E" w:rsidP="0049726E">
            <w:pPr>
              <w:jc w:val="center"/>
              <w:rPr>
                <w:color w:val="000000"/>
                <w:lang w:val="pt-BR" w:eastAsia="pt-BR"/>
              </w:rPr>
            </w:pPr>
            <w:r>
              <w:rPr>
                <w:color w:val="000000"/>
                <w:lang w:val="pt-BR" w:eastAsia="pt-BR"/>
              </w:rPr>
              <w:t>S-</w:t>
            </w:r>
            <w:r w:rsidRPr="0049726E">
              <w:rPr>
                <w:color w:val="000000"/>
                <w:lang w:val="pt-BR" w:eastAsia="pt-BR"/>
              </w:rPr>
              <w:t>C1 (%)</w:t>
            </w:r>
          </w:p>
        </w:tc>
        <w:tc>
          <w:tcPr>
            <w:tcW w:w="1275" w:type="dxa"/>
            <w:tcBorders>
              <w:top w:val="single" w:sz="4" w:space="0" w:color="auto"/>
              <w:bottom w:val="single" w:sz="4" w:space="0" w:color="auto"/>
            </w:tcBorders>
            <w:shd w:val="clear" w:color="auto" w:fill="auto"/>
            <w:noWrap/>
            <w:vAlign w:val="center"/>
            <w:hideMark/>
          </w:tcPr>
          <w:p w14:paraId="4E73F027" w14:textId="77E0DB9A" w:rsidR="0049726E" w:rsidRPr="0049726E" w:rsidRDefault="0049726E" w:rsidP="0049726E">
            <w:pPr>
              <w:jc w:val="center"/>
              <w:rPr>
                <w:color w:val="000000"/>
                <w:lang w:val="pt-BR" w:eastAsia="pt-BR"/>
              </w:rPr>
            </w:pPr>
            <w:r w:rsidRPr="0049726E">
              <w:rPr>
                <w:color w:val="000000"/>
                <w:lang w:val="pt-BR" w:eastAsia="pt-BR"/>
              </w:rPr>
              <w:t>S</w:t>
            </w:r>
            <w:r>
              <w:rPr>
                <w:color w:val="000000"/>
                <w:lang w:val="pt-BR" w:eastAsia="pt-BR"/>
              </w:rPr>
              <w:t>-</w:t>
            </w:r>
            <w:r w:rsidRPr="0049726E">
              <w:rPr>
                <w:color w:val="000000"/>
                <w:lang w:val="pt-BR" w:eastAsia="pt-BR"/>
              </w:rPr>
              <w:t>C2-C7 (%)</w:t>
            </w:r>
          </w:p>
        </w:tc>
        <w:tc>
          <w:tcPr>
            <w:tcW w:w="1418" w:type="dxa"/>
            <w:tcBorders>
              <w:top w:val="single" w:sz="4" w:space="0" w:color="auto"/>
              <w:bottom w:val="single" w:sz="4" w:space="0" w:color="auto"/>
            </w:tcBorders>
            <w:shd w:val="clear" w:color="auto" w:fill="auto"/>
            <w:noWrap/>
            <w:vAlign w:val="center"/>
            <w:hideMark/>
          </w:tcPr>
          <w:p w14:paraId="50D0F8EF" w14:textId="2F3FC268" w:rsidR="0049726E" w:rsidRPr="0049726E" w:rsidRDefault="0049726E" w:rsidP="0049726E">
            <w:pPr>
              <w:jc w:val="center"/>
              <w:rPr>
                <w:color w:val="000000"/>
                <w:lang w:val="pt-BR" w:eastAsia="pt-BR"/>
              </w:rPr>
            </w:pPr>
            <w:r w:rsidRPr="0049726E">
              <w:rPr>
                <w:color w:val="000000"/>
                <w:lang w:val="pt-BR" w:eastAsia="pt-BR"/>
              </w:rPr>
              <w:t>S</w:t>
            </w:r>
            <w:r>
              <w:rPr>
                <w:color w:val="000000"/>
                <w:lang w:val="pt-BR" w:eastAsia="pt-BR"/>
              </w:rPr>
              <w:t>-</w:t>
            </w:r>
            <w:r w:rsidRPr="0049726E">
              <w:rPr>
                <w:color w:val="000000"/>
                <w:lang w:val="pt-BR" w:eastAsia="pt-BR"/>
              </w:rPr>
              <w:t>C8-C16 (%)</w:t>
            </w:r>
          </w:p>
        </w:tc>
        <w:tc>
          <w:tcPr>
            <w:tcW w:w="1134" w:type="dxa"/>
            <w:tcBorders>
              <w:top w:val="single" w:sz="4" w:space="0" w:color="auto"/>
              <w:bottom w:val="single" w:sz="4" w:space="0" w:color="auto"/>
            </w:tcBorders>
            <w:shd w:val="clear" w:color="auto" w:fill="auto"/>
            <w:noWrap/>
            <w:vAlign w:val="center"/>
            <w:hideMark/>
          </w:tcPr>
          <w:p w14:paraId="7BEAD0D2" w14:textId="06AA3CF9" w:rsidR="0049726E" w:rsidRPr="0049726E" w:rsidRDefault="0049726E" w:rsidP="0049726E">
            <w:pPr>
              <w:jc w:val="center"/>
              <w:rPr>
                <w:color w:val="000000"/>
                <w:lang w:val="pt-BR" w:eastAsia="pt-BR"/>
              </w:rPr>
            </w:pPr>
            <w:r w:rsidRPr="0049726E">
              <w:rPr>
                <w:color w:val="000000"/>
                <w:lang w:val="pt-BR" w:eastAsia="pt-BR"/>
              </w:rPr>
              <w:t>S</w:t>
            </w:r>
            <w:r>
              <w:rPr>
                <w:color w:val="000000"/>
                <w:lang w:val="pt-BR" w:eastAsia="pt-BR"/>
              </w:rPr>
              <w:t>-</w:t>
            </w:r>
            <w:r w:rsidRPr="0049726E">
              <w:rPr>
                <w:color w:val="000000"/>
                <w:lang w:val="pt-BR" w:eastAsia="pt-BR"/>
              </w:rPr>
              <w:t>C17+ (%)</w:t>
            </w:r>
          </w:p>
        </w:tc>
      </w:tr>
      <w:tr w:rsidR="000E23C5" w:rsidRPr="0049726E" w14:paraId="467A05A4" w14:textId="77777777" w:rsidTr="0074525F">
        <w:trPr>
          <w:trHeight w:val="255"/>
        </w:trPr>
        <w:tc>
          <w:tcPr>
            <w:tcW w:w="529" w:type="dxa"/>
            <w:tcBorders>
              <w:top w:val="single" w:sz="4" w:space="0" w:color="auto"/>
            </w:tcBorders>
            <w:shd w:val="clear" w:color="auto" w:fill="auto"/>
            <w:noWrap/>
            <w:vAlign w:val="center"/>
            <w:hideMark/>
          </w:tcPr>
          <w:p w14:paraId="6BB113C2" w14:textId="77777777" w:rsidR="000E23C5" w:rsidRPr="0049726E" w:rsidRDefault="000E23C5" w:rsidP="000E23C5">
            <w:pPr>
              <w:jc w:val="center"/>
              <w:rPr>
                <w:color w:val="000000"/>
                <w:lang w:val="pt-BR" w:eastAsia="pt-BR"/>
              </w:rPr>
            </w:pPr>
            <w:r w:rsidRPr="0049726E">
              <w:rPr>
                <w:color w:val="000000"/>
                <w:lang w:val="pt-BR" w:eastAsia="pt-BR"/>
              </w:rPr>
              <w:t>Base</w:t>
            </w:r>
          </w:p>
        </w:tc>
        <w:tc>
          <w:tcPr>
            <w:tcW w:w="742" w:type="dxa"/>
            <w:tcBorders>
              <w:top w:val="single" w:sz="4" w:space="0" w:color="auto"/>
            </w:tcBorders>
            <w:shd w:val="clear" w:color="000000" w:fill="FFFFFF"/>
            <w:noWrap/>
            <w:vAlign w:val="bottom"/>
          </w:tcPr>
          <w:p w14:paraId="034FEF31" w14:textId="4E7E7EAB" w:rsidR="000E23C5" w:rsidRPr="0049726E" w:rsidRDefault="000E23C5" w:rsidP="000E23C5">
            <w:pPr>
              <w:jc w:val="center"/>
              <w:rPr>
                <w:color w:val="000000"/>
                <w:lang w:val="pt-BR" w:eastAsia="pt-BR"/>
              </w:rPr>
            </w:pPr>
            <w:r>
              <w:rPr>
                <w:color w:val="000000"/>
              </w:rPr>
              <w:t>44</w:t>
            </w:r>
          </w:p>
        </w:tc>
        <w:tc>
          <w:tcPr>
            <w:tcW w:w="992" w:type="dxa"/>
            <w:tcBorders>
              <w:top w:val="single" w:sz="4" w:space="0" w:color="auto"/>
            </w:tcBorders>
            <w:shd w:val="clear" w:color="000000" w:fill="FFFFFF"/>
            <w:noWrap/>
            <w:vAlign w:val="bottom"/>
          </w:tcPr>
          <w:p w14:paraId="2C97EC11" w14:textId="05B8B804" w:rsidR="000E23C5" w:rsidRPr="0049726E" w:rsidRDefault="000E23C5" w:rsidP="000E23C5">
            <w:pPr>
              <w:jc w:val="center"/>
              <w:rPr>
                <w:color w:val="000000"/>
                <w:lang w:val="pt-BR" w:eastAsia="pt-BR"/>
              </w:rPr>
            </w:pPr>
            <w:r>
              <w:rPr>
                <w:color w:val="000000"/>
              </w:rPr>
              <w:t>72.87%</w:t>
            </w:r>
          </w:p>
        </w:tc>
        <w:tc>
          <w:tcPr>
            <w:tcW w:w="993" w:type="dxa"/>
            <w:tcBorders>
              <w:top w:val="single" w:sz="4" w:space="0" w:color="auto"/>
            </w:tcBorders>
            <w:shd w:val="clear" w:color="000000" w:fill="FFFFFF"/>
            <w:noWrap/>
            <w:vAlign w:val="bottom"/>
          </w:tcPr>
          <w:p w14:paraId="5B4803AB" w14:textId="106C7645" w:rsidR="000E23C5" w:rsidRPr="0049726E" w:rsidRDefault="000E23C5" w:rsidP="000E23C5">
            <w:pPr>
              <w:jc w:val="center"/>
              <w:rPr>
                <w:color w:val="000000"/>
                <w:lang w:val="pt-BR" w:eastAsia="pt-BR"/>
              </w:rPr>
            </w:pPr>
            <w:r>
              <w:rPr>
                <w:color w:val="000000"/>
              </w:rPr>
              <w:t>8.26%</w:t>
            </w:r>
          </w:p>
        </w:tc>
        <w:tc>
          <w:tcPr>
            <w:tcW w:w="1275" w:type="dxa"/>
            <w:tcBorders>
              <w:top w:val="single" w:sz="4" w:space="0" w:color="auto"/>
            </w:tcBorders>
            <w:shd w:val="clear" w:color="000000" w:fill="FFFFFF"/>
            <w:noWrap/>
            <w:vAlign w:val="bottom"/>
          </w:tcPr>
          <w:p w14:paraId="74C1B081" w14:textId="63288CCD" w:rsidR="000E23C5" w:rsidRPr="0049726E" w:rsidRDefault="000E23C5" w:rsidP="000E23C5">
            <w:pPr>
              <w:jc w:val="center"/>
              <w:rPr>
                <w:color w:val="000000"/>
                <w:lang w:val="pt-BR" w:eastAsia="pt-BR"/>
              </w:rPr>
            </w:pPr>
            <w:r>
              <w:rPr>
                <w:color w:val="000000"/>
              </w:rPr>
              <w:t>35.91%</w:t>
            </w:r>
          </w:p>
        </w:tc>
        <w:tc>
          <w:tcPr>
            <w:tcW w:w="1418" w:type="dxa"/>
            <w:tcBorders>
              <w:top w:val="single" w:sz="4" w:space="0" w:color="auto"/>
            </w:tcBorders>
            <w:shd w:val="clear" w:color="000000" w:fill="FFFFFF"/>
            <w:noWrap/>
            <w:vAlign w:val="bottom"/>
          </w:tcPr>
          <w:p w14:paraId="459D2898" w14:textId="315D32A1" w:rsidR="000E23C5" w:rsidRPr="0049726E" w:rsidRDefault="000E23C5" w:rsidP="000E23C5">
            <w:pPr>
              <w:jc w:val="center"/>
              <w:rPr>
                <w:color w:val="000000"/>
                <w:lang w:val="pt-BR" w:eastAsia="pt-BR"/>
              </w:rPr>
            </w:pPr>
            <w:r>
              <w:rPr>
                <w:color w:val="000000"/>
              </w:rPr>
              <w:t>26.87%</w:t>
            </w:r>
          </w:p>
        </w:tc>
        <w:tc>
          <w:tcPr>
            <w:tcW w:w="1134" w:type="dxa"/>
            <w:tcBorders>
              <w:top w:val="single" w:sz="4" w:space="0" w:color="auto"/>
            </w:tcBorders>
            <w:shd w:val="clear" w:color="000000" w:fill="FFFFFF"/>
            <w:noWrap/>
            <w:vAlign w:val="bottom"/>
          </w:tcPr>
          <w:p w14:paraId="392B2011" w14:textId="526FBF8D" w:rsidR="000E23C5" w:rsidRPr="0049726E" w:rsidRDefault="000E23C5" w:rsidP="000E23C5">
            <w:pPr>
              <w:jc w:val="center"/>
              <w:rPr>
                <w:color w:val="000000"/>
                <w:lang w:val="pt-BR" w:eastAsia="pt-BR"/>
              </w:rPr>
            </w:pPr>
            <w:r>
              <w:rPr>
                <w:color w:val="000000"/>
              </w:rPr>
              <w:t>28.96%</w:t>
            </w:r>
          </w:p>
        </w:tc>
      </w:tr>
      <w:tr w:rsidR="000E23C5" w:rsidRPr="0049726E" w14:paraId="4F6F6FF3" w14:textId="77777777" w:rsidTr="0074525F">
        <w:trPr>
          <w:trHeight w:val="255"/>
        </w:trPr>
        <w:tc>
          <w:tcPr>
            <w:tcW w:w="529" w:type="dxa"/>
            <w:shd w:val="clear" w:color="000000" w:fill="FFFFFF"/>
            <w:noWrap/>
            <w:vAlign w:val="center"/>
            <w:hideMark/>
          </w:tcPr>
          <w:p w14:paraId="523739C5" w14:textId="77777777" w:rsidR="000E23C5" w:rsidRPr="0049726E" w:rsidRDefault="000E23C5" w:rsidP="000E23C5">
            <w:pPr>
              <w:jc w:val="center"/>
              <w:rPr>
                <w:color w:val="000000"/>
                <w:lang w:val="pt-BR" w:eastAsia="pt-BR"/>
              </w:rPr>
            </w:pPr>
            <w:r w:rsidRPr="0049726E">
              <w:rPr>
                <w:color w:val="000000"/>
                <w:lang w:val="pt-BR" w:eastAsia="pt-BR"/>
              </w:rPr>
              <w:t>1</w:t>
            </w:r>
          </w:p>
        </w:tc>
        <w:tc>
          <w:tcPr>
            <w:tcW w:w="742" w:type="dxa"/>
            <w:shd w:val="clear" w:color="000000" w:fill="FFFFFF"/>
            <w:noWrap/>
            <w:vAlign w:val="bottom"/>
          </w:tcPr>
          <w:p w14:paraId="2BB02890" w14:textId="704D483C" w:rsidR="000E23C5" w:rsidRPr="0049726E" w:rsidRDefault="000E23C5" w:rsidP="000E23C5">
            <w:pPr>
              <w:jc w:val="center"/>
              <w:rPr>
                <w:color w:val="000000"/>
                <w:lang w:val="pt-BR" w:eastAsia="pt-BR"/>
              </w:rPr>
            </w:pPr>
            <w:r>
              <w:rPr>
                <w:color w:val="000000"/>
              </w:rPr>
              <w:t>45</w:t>
            </w:r>
          </w:p>
        </w:tc>
        <w:tc>
          <w:tcPr>
            <w:tcW w:w="992" w:type="dxa"/>
            <w:shd w:val="clear" w:color="000000" w:fill="FFFFFF"/>
            <w:noWrap/>
            <w:vAlign w:val="bottom"/>
          </w:tcPr>
          <w:p w14:paraId="2010E8AB" w14:textId="3B276BF8" w:rsidR="000E23C5" w:rsidRPr="0049726E" w:rsidRDefault="000E23C5" w:rsidP="000E23C5">
            <w:pPr>
              <w:jc w:val="center"/>
              <w:rPr>
                <w:color w:val="000000"/>
                <w:lang w:val="pt-BR" w:eastAsia="pt-BR"/>
              </w:rPr>
            </w:pPr>
            <w:r>
              <w:rPr>
                <w:color w:val="000000"/>
              </w:rPr>
              <w:t>57.45%</w:t>
            </w:r>
          </w:p>
        </w:tc>
        <w:tc>
          <w:tcPr>
            <w:tcW w:w="993" w:type="dxa"/>
            <w:shd w:val="clear" w:color="000000" w:fill="FFFFFF"/>
            <w:noWrap/>
            <w:vAlign w:val="bottom"/>
          </w:tcPr>
          <w:p w14:paraId="43BA9F1E" w14:textId="49DC7B34" w:rsidR="000E23C5" w:rsidRPr="0049726E" w:rsidRDefault="000E23C5" w:rsidP="000E23C5">
            <w:pPr>
              <w:jc w:val="center"/>
              <w:rPr>
                <w:color w:val="000000"/>
                <w:lang w:val="pt-BR" w:eastAsia="pt-BR"/>
              </w:rPr>
            </w:pPr>
            <w:r>
              <w:rPr>
                <w:color w:val="000000"/>
              </w:rPr>
              <w:t>5.20%</w:t>
            </w:r>
          </w:p>
        </w:tc>
        <w:tc>
          <w:tcPr>
            <w:tcW w:w="1275" w:type="dxa"/>
            <w:shd w:val="clear" w:color="auto" w:fill="auto"/>
            <w:noWrap/>
            <w:vAlign w:val="bottom"/>
          </w:tcPr>
          <w:p w14:paraId="6977282C" w14:textId="0B6D844D" w:rsidR="000E23C5" w:rsidRPr="0049726E" w:rsidRDefault="000E23C5" w:rsidP="000E23C5">
            <w:pPr>
              <w:jc w:val="center"/>
              <w:rPr>
                <w:color w:val="000000"/>
                <w:lang w:val="pt-BR" w:eastAsia="pt-BR"/>
              </w:rPr>
            </w:pPr>
            <w:r>
              <w:rPr>
                <w:color w:val="000000"/>
              </w:rPr>
              <w:t>24.97%</w:t>
            </w:r>
          </w:p>
        </w:tc>
        <w:tc>
          <w:tcPr>
            <w:tcW w:w="1418" w:type="dxa"/>
            <w:shd w:val="clear" w:color="000000" w:fill="FFFFFF"/>
            <w:noWrap/>
            <w:vAlign w:val="bottom"/>
          </w:tcPr>
          <w:p w14:paraId="1B4D1DDE" w14:textId="59C72D54" w:rsidR="000E23C5" w:rsidRPr="0049726E" w:rsidRDefault="000E23C5" w:rsidP="000E23C5">
            <w:pPr>
              <w:jc w:val="center"/>
              <w:rPr>
                <w:color w:val="000000"/>
                <w:lang w:val="pt-BR" w:eastAsia="pt-BR"/>
              </w:rPr>
            </w:pPr>
            <w:r>
              <w:rPr>
                <w:color w:val="000000"/>
              </w:rPr>
              <w:t>23.10%</w:t>
            </w:r>
          </w:p>
        </w:tc>
        <w:tc>
          <w:tcPr>
            <w:tcW w:w="1134" w:type="dxa"/>
            <w:shd w:val="clear" w:color="000000" w:fill="FFFFFF"/>
            <w:noWrap/>
            <w:vAlign w:val="bottom"/>
          </w:tcPr>
          <w:p w14:paraId="787F871E" w14:textId="5A704D3E" w:rsidR="000E23C5" w:rsidRPr="0049726E" w:rsidRDefault="000E23C5" w:rsidP="000E23C5">
            <w:pPr>
              <w:jc w:val="center"/>
              <w:rPr>
                <w:color w:val="000000"/>
                <w:lang w:val="pt-BR" w:eastAsia="pt-BR"/>
              </w:rPr>
            </w:pPr>
            <w:r>
              <w:rPr>
                <w:color w:val="000000"/>
              </w:rPr>
              <w:t>46.73%</w:t>
            </w:r>
          </w:p>
        </w:tc>
      </w:tr>
      <w:tr w:rsidR="000E23C5" w:rsidRPr="0049726E" w14:paraId="01A7A8D8" w14:textId="77777777" w:rsidTr="0074525F">
        <w:trPr>
          <w:trHeight w:val="255"/>
        </w:trPr>
        <w:tc>
          <w:tcPr>
            <w:tcW w:w="529" w:type="dxa"/>
            <w:shd w:val="clear" w:color="000000" w:fill="FFFFFF"/>
            <w:noWrap/>
            <w:vAlign w:val="center"/>
            <w:hideMark/>
          </w:tcPr>
          <w:p w14:paraId="0126A668" w14:textId="77777777" w:rsidR="000E23C5" w:rsidRPr="0049726E" w:rsidRDefault="000E23C5" w:rsidP="000E23C5">
            <w:pPr>
              <w:jc w:val="center"/>
              <w:rPr>
                <w:color w:val="000000"/>
                <w:lang w:val="pt-BR" w:eastAsia="pt-BR"/>
              </w:rPr>
            </w:pPr>
            <w:r w:rsidRPr="0049726E">
              <w:rPr>
                <w:color w:val="000000"/>
                <w:lang w:val="pt-BR" w:eastAsia="pt-BR"/>
              </w:rPr>
              <w:t>2</w:t>
            </w:r>
          </w:p>
        </w:tc>
        <w:tc>
          <w:tcPr>
            <w:tcW w:w="742" w:type="dxa"/>
            <w:shd w:val="clear" w:color="000000" w:fill="FFFFFF"/>
            <w:noWrap/>
            <w:vAlign w:val="bottom"/>
          </w:tcPr>
          <w:p w14:paraId="42CA9130" w14:textId="3B2E6BEB" w:rsidR="000E23C5" w:rsidRPr="0049726E" w:rsidRDefault="000E23C5" w:rsidP="000E23C5">
            <w:pPr>
              <w:jc w:val="center"/>
              <w:rPr>
                <w:color w:val="000000"/>
                <w:lang w:val="pt-BR" w:eastAsia="pt-BR"/>
              </w:rPr>
            </w:pPr>
            <w:r>
              <w:rPr>
                <w:color w:val="000000"/>
              </w:rPr>
              <w:t>94</w:t>
            </w:r>
          </w:p>
        </w:tc>
        <w:tc>
          <w:tcPr>
            <w:tcW w:w="992" w:type="dxa"/>
            <w:shd w:val="clear" w:color="000000" w:fill="FFFFFF"/>
            <w:noWrap/>
            <w:vAlign w:val="bottom"/>
          </w:tcPr>
          <w:p w14:paraId="7030BB1F" w14:textId="19B70822" w:rsidR="000E23C5" w:rsidRPr="0049726E" w:rsidRDefault="000E23C5" w:rsidP="000E23C5">
            <w:pPr>
              <w:jc w:val="center"/>
              <w:rPr>
                <w:color w:val="000000"/>
                <w:lang w:val="pt-BR" w:eastAsia="pt-BR"/>
              </w:rPr>
            </w:pPr>
            <w:r>
              <w:rPr>
                <w:color w:val="000000"/>
              </w:rPr>
              <w:t>84.22%</w:t>
            </w:r>
          </w:p>
        </w:tc>
        <w:tc>
          <w:tcPr>
            <w:tcW w:w="993" w:type="dxa"/>
            <w:shd w:val="clear" w:color="000000" w:fill="FFFFFF"/>
            <w:noWrap/>
            <w:vAlign w:val="bottom"/>
          </w:tcPr>
          <w:p w14:paraId="18879404" w14:textId="5EB31A11" w:rsidR="000E23C5" w:rsidRPr="0049726E" w:rsidRDefault="000E23C5" w:rsidP="000E23C5">
            <w:pPr>
              <w:jc w:val="center"/>
              <w:rPr>
                <w:color w:val="000000"/>
                <w:lang w:val="pt-BR" w:eastAsia="pt-BR"/>
              </w:rPr>
            </w:pPr>
            <w:r>
              <w:rPr>
                <w:color w:val="000000"/>
              </w:rPr>
              <w:t>13.56%</w:t>
            </w:r>
          </w:p>
        </w:tc>
        <w:tc>
          <w:tcPr>
            <w:tcW w:w="1275" w:type="dxa"/>
            <w:shd w:val="clear" w:color="000000" w:fill="FFFFFF"/>
            <w:noWrap/>
            <w:vAlign w:val="bottom"/>
          </w:tcPr>
          <w:p w14:paraId="24462BC1" w14:textId="337E246B" w:rsidR="000E23C5" w:rsidRPr="0049726E" w:rsidRDefault="000E23C5" w:rsidP="000E23C5">
            <w:pPr>
              <w:jc w:val="center"/>
              <w:rPr>
                <w:color w:val="000000"/>
                <w:lang w:val="pt-BR" w:eastAsia="pt-BR"/>
              </w:rPr>
            </w:pPr>
            <w:r>
              <w:rPr>
                <w:color w:val="000000"/>
              </w:rPr>
              <w:t>48.25%</w:t>
            </w:r>
          </w:p>
        </w:tc>
        <w:tc>
          <w:tcPr>
            <w:tcW w:w="1418" w:type="dxa"/>
            <w:shd w:val="clear" w:color="000000" w:fill="FFFFFF"/>
            <w:noWrap/>
            <w:vAlign w:val="bottom"/>
          </w:tcPr>
          <w:p w14:paraId="33095DD6" w14:textId="292C71A7" w:rsidR="000E23C5" w:rsidRPr="0049726E" w:rsidRDefault="000E23C5" w:rsidP="000E23C5">
            <w:pPr>
              <w:jc w:val="center"/>
              <w:rPr>
                <w:color w:val="000000"/>
                <w:lang w:val="pt-BR" w:eastAsia="pt-BR"/>
              </w:rPr>
            </w:pPr>
            <w:r>
              <w:rPr>
                <w:color w:val="000000"/>
              </w:rPr>
              <w:t>24.27%</w:t>
            </w:r>
          </w:p>
        </w:tc>
        <w:tc>
          <w:tcPr>
            <w:tcW w:w="1134" w:type="dxa"/>
            <w:shd w:val="clear" w:color="000000" w:fill="FFFFFF"/>
            <w:noWrap/>
            <w:vAlign w:val="bottom"/>
          </w:tcPr>
          <w:p w14:paraId="0961A29A" w14:textId="06DF43A6" w:rsidR="000E23C5" w:rsidRPr="0049726E" w:rsidRDefault="000E23C5" w:rsidP="000E23C5">
            <w:pPr>
              <w:jc w:val="center"/>
              <w:rPr>
                <w:color w:val="000000"/>
                <w:lang w:val="pt-BR" w:eastAsia="pt-BR"/>
              </w:rPr>
            </w:pPr>
            <w:r>
              <w:rPr>
                <w:color w:val="000000"/>
              </w:rPr>
              <w:t>13.91%</w:t>
            </w:r>
          </w:p>
        </w:tc>
      </w:tr>
      <w:tr w:rsidR="000E23C5" w:rsidRPr="0049726E" w14:paraId="30860995" w14:textId="77777777" w:rsidTr="0074525F">
        <w:trPr>
          <w:trHeight w:val="255"/>
        </w:trPr>
        <w:tc>
          <w:tcPr>
            <w:tcW w:w="529" w:type="dxa"/>
            <w:shd w:val="clear" w:color="000000" w:fill="FFFFFF"/>
            <w:noWrap/>
            <w:vAlign w:val="center"/>
            <w:hideMark/>
          </w:tcPr>
          <w:p w14:paraId="1805111B" w14:textId="77777777" w:rsidR="000E23C5" w:rsidRPr="0049726E" w:rsidRDefault="000E23C5" w:rsidP="000E23C5">
            <w:pPr>
              <w:jc w:val="center"/>
              <w:rPr>
                <w:color w:val="000000"/>
                <w:lang w:val="pt-BR" w:eastAsia="pt-BR"/>
              </w:rPr>
            </w:pPr>
            <w:r w:rsidRPr="0049726E">
              <w:rPr>
                <w:color w:val="000000"/>
                <w:lang w:val="pt-BR" w:eastAsia="pt-BR"/>
              </w:rPr>
              <w:t>3</w:t>
            </w:r>
          </w:p>
        </w:tc>
        <w:tc>
          <w:tcPr>
            <w:tcW w:w="742" w:type="dxa"/>
            <w:shd w:val="clear" w:color="auto" w:fill="auto"/>
            <w:noWrap/>
            <w:vAlign w:val="bottom"/>
          </w:tcPr>
          <w:p w14:paraId="156DF9DA" w14:textId="0499CB58" w:rsidR="000E23C5" w:rsidRPr="0049726E" w:rsidRDefault="000E23C5" w:rsidP="000E23C5">
            <w:pPr>
              <w:jc w:val="center"/>
              <w:rPr>
                <w:color w:val="000000"/>
                <w:lang w:val="pt-BR" w:eastAsia="pt-BR"/>
              </w:rPr>
            </w:pPr>
            <w:r>
              <w:rPr>
                <w:color w:val="000000"/>
              </w:rPr>
              <w:t>120</w:t>
            </w:r>
          </w:p>
        </w:tc>
        <w:tc>
          <w:tcPr>
            <w:tcW w:w="992" w:type="dxa"/>
            <w:shd w:val="clear" w:color="000000" w:fill="FFFFFF"/>
            <w:noWrap/>
            <w:vAlign w:val="bottom"/>
          </w:tcPr>
          <w:p w14:paraId="3716D249" w14:textId="40A56081" w:rsidR="000E23C5" w:rsidRPr="0049726E" w:rsidRDefault="000E23C5" w:rsidP="000E23C5">
            <w:pPr>
              <w:jc w:val="center"/>
              <w:rPr>
                <w:color w:val="000000"/>
                <w:lang w:val="pt-BR" w:eastAsia="pt-BR"/>
              </w:rPr>
            </w:pPr>
            <w:r>
              <w:rPr>
                <w:color w:val="000000"/>
              </w:rPr>
              <w:t>86.19%</w:t>
            </w:r>
          </w:p>
        </w:tc>
        <w:tc>
          <w:tcPr>
            <w:tcW w:w="993" w:type="dxa"/>
            <w:shd w:val="clear" w:color="000000" w:fill="FFFFFF"/>
            <w:noWrap/>
            <w:vAlign w:val="bottom"/>
          </w:tcPr>
          <w:p w14:paraId="018E118E" w14:textId="34EF31E0" w:rsidR="000E23C5" w:rsidRPr="0049726E" w:rsidRDefault="000E23C5" w:rsidP="000E23C5">
            <w:pPr>
              <w:jc w:val="center"/>
              <w:rPr>
                <w:color w:val="000000"/>
                <w:lang w:val="pt-BR" w:eastAsia="pt-BR"/>
              </w:rPr>
            </w:pPr>
            <w:r>
              <w:rPr>
                <w:color w:val="000000"/>
              </w:rPr>
              <w:t>6.27%</w:t>
            </w:r>
          </w:p>
        </w:tc>
        <w:tc>
          <w:tcPr>
            <w:tcW w:w="1275" w:type="dxa"/>
            <w:shd w:val="clear" w:color="000000" w:fill="FFFFFF"/>
            <w:noWrap/>
            <w:vAlign w:val="bottom"/>
          </w:tcPr>
          <w:p w14:paraId="424413E8" w14:textId="14896AC2" w:rsidR="000E23C5" w:rsidRPr="0049726E" w:rsidRDefault="000E23C5" w:rsidP="000E23C5">
            <w:pPr>
              <w:jc w:val="center"/>
              <w:rPr>
                <w:color w:val="000000"/>
                <w:lang w:val="pt-BR" w:eastAsia="pt-BR"/>
              </w:rPr>
            </w:pPr>
            <w:r>
              <w:rPr>
                <w:color w:val="000000"/>
              </w:rPr>
              <w:t>28.60%</w:t>
            </w:r>
          </w:p>
        </w:tc>
        <w:tc>
          <w:tcPr>
            <w:tcW w:w="1418" w:type="dxa"/>
            <w:shd w:val="clear" w:color="000000" w:fill="FFFFFF"/>
            <w:noWrap/>
            <w:vAlign w:val="bottom"/>
          </w:tcPr>
          <w:p w14:paraId="48BC8246" w14:textId="5903C7CF" w:rsidR="000E23C5" w:rsidRPr="0049726E" w:rsidRDefault="000E23C5" w:rsidP="000E23C5">
            <w:pPr>
              <w:jc w:val="center"/>
              <w:rPr>
                <w:color w:val="000000"/>
                <w:lang w:val="pt-BR" w:eastAsia="pt-BR"/>
              </w:rPr>
            </w:pPr>
            <w:r>
              <w:rPr>
                <w:color w:val="000000"/>
              </w:rPr>
              <w:t>23.95%</w:t>
            </w:r>
          </w:p>
        </w:tc>
        <w:tc>
          <w:tcPr>
            <w:tcW w:w="1134" w:type="dxa"/>
            <w:shd w:val="clear" w:color="000000" w:fill="FFFFFF"/>
            <w:noWrap/>
            <w:vAlign w:val="bottom"/>
          </w:tcPr>
          <w:p w14:paraId="02DE9851" w14:textId="23091E2C" w:rsidR="000E23C5" w:rsidRPr="0049726E" w:rsidRDefault="000E23C5" w:rsidP="000E23C5">
            <w:pPr>
              <w:jc w:val="center"/>
              <w:rPr>
                <w:color w:val="000000"/>
                <w:lang w:val="pt-BR" w:eastAsia="pt-BR"/>
              </w:rPr>
            </w:pPr>
            <w:r>
              <w:rPr>
                <w:color w:val="000000"/>
              </w:rPr>
              <w:t>41.18%</w:t>
            </w:r>
          </w:p>
        </w:tc>
      </w:tr>
      <w:tr w:rsidR="000E23C5" w:rsidRPr="0049726E" w14:paraId="0E5ABF7A" w14:textId="77777777" w:rsidTr="0074525F">
        <w:trPr>
          <w:trHeight w:val="255"/>
        </w:trPr>
        <w:tc>
          <w:tcPr>
            <w:tcW w:w="529" w:type="dxa"/>
            <w:shd w:val="clear" w:color="000000" w:fill="FFFFFF"/>
            <w:noWrap/>
            <w:vAlign w:val="center"/>
            <w:hideMark/>
          </w:tcPr>
          <w:p w14:paraId="212A6EC7" w14:textId="77777777" w:rsidR="000E23C5" w:rsidRPr="0049726E" w:rsidRDefault="000E23C5" w:rsidP="000E23C5">
            <w:pPr>
              <w:jc w:val="center"/>
              <w:rPr>
                <w:color w:val="000000"/>
                <w:lang w:val="pt-BR" w:eastAsia="pt-BR"/>
              </w:rPr>
            </w:pPr>
            <w:r w:rsidRPr="0049726E">
              <w:rPr>
                <w:color w:val="000000"/>
                <w:lang w:val="pt-BR" w:eastAsia="pt-BR"/>
              </w:rPr>
              <w:t>4</w:t>
            </w:r>
          </w:p>
        </w:tc>
        <w:tc>
          <w:tcPr>
            <w:tcW w:w="742" w:type="dxa"/>
            <w:shd w:val="clear" w:color="000000" w:fill="FFFFFF"/>
            <w:noWrap/>
            <w:vAlign w:val="bottom"/>
          </w:tcPr>
          <w:p w14:paraId="73E88402" w14:textId="1BDE16B5" w:rsidR="000E23C5" w:rsidRPr="0049726E" w:rsidRDefault="000E23C5" w:rsidP="000E23C5">
            <w:pPr>
              <w:jc w:val="center"/>
              <w:rPr>
                <w:color w:val="000000"/>
                <w:lang w:val="pt-BR" w:eastAsia="pt-BR"/>
              </w:rPr>
            </w:pPr>
            <w:r>
              <w:rPr>
                <w:color w:val="000000"/>
              </w:rPr>
              <w:t>35</w:t>
            </w:r>
          </w:p>
        </w:tc>
        <w:tc>
          <w:tcPr>
            <w:tcW w:w="992" w:type="dxa"/>
            <w:shd w:val="clear" w:color="000000" w:fill="FFFFFF"/>
            <w:noWrap/>
            <w:vAlign w:val="bottom"/>
          </w:tcPr>
          <w:p w14:paraId="3A1D3803" w14:textId="6DA29843" w:rsidR="000E23C5" w:rsidRPr="0049726E" w:rsidRDefault="000E23C5" w:rsidP="000E23C5">
            <w:pPr>
              <w:jc w:val="center"/>
              <w:rPr>
                <w:color w:val="000000"/>
                <w:lang w:val="pt-BR" w:eastAsia="pt-BR"/>
              </w:rPr>
            </w:pPr>
            <w:r>
              <w:rPr>
                <w:color w:val="000000"/>
              </w:rPr>
              <w:t>42.76%</w:t>
            </w:r>
          </w:p>
        </w:tc>
        <w:tc>
          <w:tcPr>
            <w:tcW w:w="993" w:type="dxa"/>
            <w:shd w:val="clear" w:color="000000" w:fill="FFFFFF"/>
            <w:noWrap/>
            <w:vAlign w:val="bottom"/>
          </w:tcPr>
          <w:p w14:paraId="0DFAAB87" w14:textId="6349C273" w:rsidR="000E23C5" w:rsidRPr="0049726E" w:rsidRDefault="000E23C5" w:rsidP="000E23C5">
            <w:pPr>
              <w:jc w:val="center"/>
              <w:rPr>
                <w:color w:val="000000"/>
                <w:lang w:val="pt-BR" w:eastAsia="pt-BR"/>
              </w:rPr>
            </w:pPr>
            <w:r>
              <w:rPr>
                <w:color w:val="000000"/>
              </w:rPr>
              <w:t>7.83%</w:t>
            </w:r>
          </w:p>
        </w:tc>
        <w:tc>
          <w:tcPr>
            <w:tcW w:w="1275" w:type="dxa"/>
            <w:shd w:val="clear" w:color="000000" w:fill="FFFFFF"/>
            <w:noWrap/>
            <w:vAlign w:val="bottom"/>
          </w:tcPr>
          <w:p w14:paraId="649304C0" w14:textId="155BBAAA" w:rsidR="000E23C5" w:rsidRPr="0049726E" w:rsidRDefault="000E23C5" w:rsidP="000E23C5">
            <w:pPr>
              <w:jc w:val="center"/>
              <w:rPr>
                <w:color w:val="000000"/>
                <w:lang w:val="pt-BR" w:eastAsia="pt-BR"/>
              </w:rPr>
            </w:pPr>
            <w:r>
              <w:rPr>
                <w:color w:val="000000"/>
              </w:rPr>
              <w:t>34.72%</w:t>
            </w:r>
          </w:p>
        </w:tc>
        <w:tc>
          <w:tcPr>
            <w:tcW w:w="1418" w:type="dxa"/>
            <w:shd w:val="clear" w:color="000000" w:fill="FFFFFF"/>
            <w:noWrap/>
            <w:vAlign w:val="bottom"/>
          </w:tcPr>
          <w:p w14:paraId="772A281E" w14:textId="691B2E62" w:rsidR="000E23C5" w:rsidRPr="0049726E" w:rsidRDefault="000E23C5" w:rsidP="000E23C5">
            <w:pPr>
              <w:jc w:val="center"/>
              <w:rPr>
                <w:color w:val="000000"/>
                <w:lang w:val="pt-BR" w:eastAsia="pt-BR"/>
              </w:rPr>
            </w:pPr>
            <w:r>
              <w:rPr>
                <w:color w:val="000000"/>
              </w:rPr>
              <w:t>26.95%</w:t>
            </w:r>
          </w:p>
        </w:tc>
        <w:tc>
          <w:tcPr>
            <w:tcW w:w="1134" w:type="dxa"/>
            <w:shd w:val="clear" w:color="000000" w:fill="FFFFFF"/>
            <w:noWrap/>
            <w:vAlign w:val="bottom"/>
          </w:tcPr>
          <w:p w14:paraId="2751F618" w14:textId="799E2036" w:rsidR="000E23C5" w:rsidRPr="0049726E" w:rsidRDefault="000E23C5" w:rsidP="000E23C5">
            <w:pPr>
              <w:jc w:val="center"/>
              <w:rPr>
                <w:color w:val="000000"/>
                <w:lang w:val="pt-BR" w:eastAsia="pt-BR"/>
              </w:rPr>
            </w:pPr>
            <w:r>
              <w:rPr>
                <w:color w:val="000000"/>
              </w:rPr>
              <w:t>30.50%</w:t>
            </w:r>
          </w:p>
        </w:tc>
      </w:tr>
      <w:tr w:rsidR="000E23C5" w:rsidRPr="0049726E" w14:paraId="351DCC53" w14:textId="77777777" w:rsidTr="0074525F">
        <w:trPr>
          <w:trHeight w:val="255"/>
        </w:trPr>
        <w:tc>
          <w:tcPr>
            <w:tcW w:w="529" w:type="dxa"/>
            <w:shd w:val="clear" w:color="000000" w:fill="FFFFFF"/>
            <w:noWrap/>
            <w:vAlign w:val="center"/>
            <w:hideMark/>
          </w:tcPr>
          <w:p w14:paraId="4A706D1B" w14:textId="77777777" w:rsidR="000E23C5" w:rsidRPr="0049726E" w:rsidRDefault="000E23C5" w:rsidP="000E23C5">
            <w:pPr>
              <w:jc w:val="center"/>
              <w:rPr>
                <w:color w:val="000000"/>
                <w:lang w:val="pt-BR" w:eastAsia="pt-BR"/>
              </w:rPr>
            </w:pPr>
            <w:r w:rsidRPr="0049726E">
              <w:rPr>
                <w:color w:val="000000"/>
                <w:lang w:val="pt-BR" w:eastAsia="pt-BR"/>
              </w:rPr>
              <w:t>5</w:t>
            </w:r>
          </w:p>
        </w:tc>
        <w:tc>
          <w:tcPr>
            <w:tcW w:w="742" w:type="dxa"/>
            <w:shd w:val="clear" w:color="000000" w:fill="FFFFFF"/>
            <w:noWrap/>
            <w:vAlign w:val="bottom"/>
          </w:tcPr>
          <w:p w14:paraId="56169114" w14:textId="70FBD894" w:rsidR="000E23C5" w:rsidRPr="0049726E" w:rsidRDefault="000E23C5" w:rsidP="000E23C5">
            <w:pPr>
              <w:jc w:val="center"/>
              <w:rPr>
                <w:color w:val="000000"/>
                <w:lang w:val="pt-BR" w:eastAsia="pt-BR"/>
              </w:rPr>
            </w:pPr>
            <w:r>
              <w:rPr>
                <w:color w:val="000000"/>
              </w:rPr>
              <w:t>43</w:t>
            </w:r>
          </w:p>
        </w:tc>
        <w:tc>
          <w:tcPr>
            <w:tcW w:w="992" w:type="dxa"/>
            <w:shd w:val="clear" w:color="000000" w:fill="FFFFFF"/>
            <w:noWrap/>
            <w:vAlign w:val="bottom"/>
          </w:tcPr>
          <w:p w14:paraId="3AC8982A" w14:textId="2D884ABA" w:rsidR="000E23C5" w:rsidRPr="0049726E" w:rsidRDefault="000E23C5" w:rsidP="000E23C5">
            <w:pPr>
              <w:jc w:val="center"/>
              <w:rPr>
                <w:color w:val="000000"/>
                <w:lang w:val="pt-BR" w:eastAsia="pt-BR"/>
              </w:rPr>
            </w:pPr>
            <w:r>
              <w:rPr>
                <w:color w:val="000000"/>
              </w:rPr>
              <w:t>26.09%</w:t>
            </w:r>
          </w:p>
        </w:tc>
        <w:tc>
          <w:tcPr>
            <w:tcW w:w="993" w:type="dxa"/>
            <w:shd w:val="clear" w:color="000000" w:fill="FFFFFF"/>
            <w:noWrap/>
            <w:vAlign w:val="bottom"/>
          </w:tcPr>
          <w:p w14:paraId="3C824C50" w14:textId="186983AC" w:rsidR="000E23C5" w:rsidRPr="0049726E" w:rsidRDefault="000E23C5" w:rsidP="000E23C5">
            <w:pPr>
              <w:jc w:val="center"/>
              <w:rPr>
                <w:color w:val="000000"/>
                <w:lang w:val="pt-BR" w:eastAsia="pt-BR"/>
              </w:rPr>
            </w:pPr>
            <w:r>
              <w:rPr>
                <w:color w:val="000000"/>
              </w:rPr>
              <w:t>0.71%</w:t>
            </w:r>
          </w:p>
        </w:tc>
        <w:tc>
          <w:tcPr>
            <w:tcW w:w="1275" w:type="dxa"/>
            <w:shd w:val="clear" w:color="000000" w:fill="FFFFFF"/>
            <w:noWrap/>
            <w:vAlign w:val="bottom"/>
          </w:tcPr>
          <w:p w14:paraId="6DB676B8" w14:textId="7F9BB1E7" w:rsidR="000E23C5" w:rsidRPr="0049726E" w:rsidRDefault="000E23C5" w:rsidP="000E23C5">
            <w:pPr>
              <w:jc w:val="center"/>
              <w:rPr>
                <w:color w:val="000000"/>
                <w:lang w:val="pt-BR" w:eastAsia="pt-BR"/>
              </w:rPr>
            </w:pPr>
            <w:r>
              <w:rPr>
                <w:color w:val="000000"/>
              </w:rPr>
              <w:t>3.97%</w:t>
            </w:r>
          </w:p>
        </w:tc>
        <w:tc>
          <w:tcPr>
            <w:tcW w:w="1418" w:type="dxa"/>
            <w:shd w:val="clear" w:color="000000" w:fill="FFFFFF"/>
            <w:noWrap/>
            <w:vAlign w:val="bottom"/>
          </w:tcPr>
          <w:p w14:paraId="0BF572FF" w14:textId="3BDA1752" w:rsidR="000E23C5" w:rsidRPr="0049726E" w:rsidRDefault="000E23C5" w:rsidP="000E23C5">
            <w:pPr>
              <w:jc w:val="center"/>
              <w:rPr>
                <w:color w:val="000000"/>
                <w:lang w:val="pt-BR" w:eastAsia="pt-BR"/>
              </w:rPr>
            </w:pPr>
            <w:r>
              <w:rPr>
                <w:color w:val="000000"/>
              </w:rPr>
              <w:t>5.09%</w:t>
            </w:r>
          </w:p>
        </w:tc>
        <w:tc>
          <w:tcPr>
            <w:tcW w:w="1134" w:type="dxa"/>
            <w:shd w:val="clear" w:color="000000" w:fill="FFFFFF"/>
            <w:noWrap/>
            <w:vAlign w:val="bottom"/>
          </w:tcPr>
          <w:p w14:paraId="624967BE" w14:textId="58735AE0" w:rsidR="000E23C5" w:rsidRPr="0049726E" w:rsidRDefault="000E23C5" w:rsidP="000E23C5">
            <w:pPr>
              <w:jc w:val="center"/>
              <w:rPr>
                <w:color w:val="000000"/>
                <w:lang w:val="pt-BR" w:eastAsia="pt-BR"/>
              </w:rPr>
            </w:pPr>
            <w:r>
              <w:rPr>
                <w:color w:val="000000"/>
              </w:rPr>
              <w:t>90.23%</w:t>
            </w:r>
          </w:p>
        </w:tc>
      </w:tr>
      <w:tr w:rsidR="000E23C5" w:rsidRPr="0049726E" w14:paraId="10CFE366" w14:textId="77777777" w:rsidTr="0074525F">
        <w:trPr>
          <w:trHeight w:val="240"/>
        </w:trPr>
        <w:tc>
          <w:tcPr>
            <w:tcW w:w="529" w:type="dxa"/>
            <w:tcBorders>
              <w:bottom w:val="single" w:sz="4" w:space="0" w:color="auto"/>
            </w:tcBorders>
            <w:shd w:val="clear" w:color="000000" w:fill="FFFFFF"/>
            <w:noWrap/>
            <w:vAlign w:val="center"/>
            <w:hideMark/>
          </w:tcPr>
          <w:p w14:paraId="53345FFF" w14:textId="77777777" w:rsidR="000E23C5" w:rsidRPr="0049726E" w:rsidRDefault="000E23C5" w:rsidP="000E23C5">
            <w:pPr>
              <w:jc w:val="center"/>
              <w:rPr>
                <w:color w:val="000000"/>
                <w:lang w:val="pt-BR" w:eastAsia="pt-BR"/>
              </w:rPr>
            </w:pPr>
            <w:r w:rsidRPr="0049726E">
              <w:rPr>
                <w:color w:val="000000"/>
                <w:lang w:val="pt-BR" w:eastAsia="pt-BR"/>
              </w:rPr>
              <w:t>6</w:t>
            </w:r>
          </w:p>
        </w:tc>
        <w:tc>
          <w:tcPr>
            <w:tcW w:w="742" w:type="dxa"/>
            <w:tcBorders>
              <w:bottom w:val="single" w:sz="4" w:space="0" w:color="auto"/>
            </w:tcBorders>
            <w:shd w:val="clear" w:color="000000" w:fill="FFFFFF"/>
            <w:noWrap/>
            <w:vAlign w:val="bottom"/>
          </w:tcPr>
          <w:p w14:paraId="1B539D4B" w14:textId="50BF8D0A" w:rsidR="000E23C5" w:rsidRPr="0049726E" w:rsidRDefault="000E23C5" w:rsidP="000E23C5">
            <w:pPr>
              <w:jc w:val="center"/>
              <w:rPr>
                <w:color w:val="000000"/>
                <w:lang w:val="pt-BR" w:eastAsia="pt-BR"/>
              </w:rPr>
            </w:pPr>
            <w:r>
              <w:rPr>
                <w:color w:val="000000"/>
              </w:rPr>
              <w:t>137</w:t>
            </w:r>
          </w:p>
        </w:tc>
        <w:tc>
          <w:tcPr>
            <w:tcW w:w="992" w:type="dxa"/>
            <w:tcBorders>
              <w:bottom w:val="single" w:sz="4" w:space="0" w:color="auto"/>
            </w:tcBorders>
            <w:shd w:val="clear" w:color="000000" w:fill="FFFFFF"/>
            <w:noWrap/>
            <w:vAlign w:val="bottom"/>
          </w:tcPr>
          <w:p w14:paraId="71C6100C" w14:textId="223EE87D" w:rsidR="000E23C5" w:rsidRPr="0049726E" w:rsidRDefault="000E23C5" w:rsidP="000E23C5">
            <w:pPr>
              <w:jc w:val="center"/>
              <w:rPr>
                <w:color w:val="000000"/>
                <w:lang w:val="pt-BR" w:eastAsia="pt-BR"/>
              </w:rPr>
            </w:pPr>
            <w:r>
              <w:rPr>
                <w:color w:val="000000"/>
              </w:rPr>
              <w:t>99.73%</w:t>
            </w:r>
          </w:p>
        </w:tc>
        <w:tc>
          <w:tcPr>
            <w:tcW w:w="993" w:type="dxa"/>
            <w:tcBorders>
              <w:bottom w:val="single" w:sz="4" w:space="0" w:color="auto"/>
            </w:tcBorders>
            <w:shd w:val="clear" w:color="000000" w:fill="FFFFFF"/>
            <w:noWrap/>
            <w:vAlign w:val="bottom"/>
          </w:tcPr>
          <w:p w14:paraId="56629957" w14:textId="0FD2EF06" w:rsidR="000E23C5" w:rsidRPr="0049726E" w:rsidRDefault="000E23C5" w:rsidP="000E23C5">
            <w:pPr>
              <w:jc w:val="center"/>
              <w:rPr>
                <w:color w:val="000000"/>
                <w:lang w:val="pt-BR" w:eastAsia="pt-BR"/>
              </w:rPr>
            </w:pPr>
            <w:r>
              <w:rPr>
                <w:color w:val="000000"/>
              </w:rPr>
              <w:t>45.67%</w:t>
            </w:r>
          </w:p>
        </w:tc>
        <w:tc>
          <w:tcPr>
            <w:tcW w:w="1275" w:type="dxa"/>
            <w:tcBorders>
              <w:bottom w:val="single" w:sz="4" w:space="0" w:color="auto"/>
            </w:tcBorders>
            <w:shd w:val="clear" w:color="000000" w:fill="FFFFFF"/>
            <w:noWrap/>
            <w:vAlign w:val="bottom"/>
          </w:tcPr>
          <w:p w14:paraId="1FA1778C" w14:textId="6CC6103A" w:rsidR="000E23C5" w:rsidRPr="0049726E" w:rsidRDefault="000E23C5" w:rsidP="000E23C5">
            <w:pPr>
              <w:jc w:val="center"/>
              <w:rPr>
                <w:color w:val="000000"/>
                <w:lang w:val="pt-BR" w:eastAsia="pt-BR"/>
              </w:rPr>
            </w:pPr>
            <w:r>
              <w:rPr>
                <w:color w:val="000000"/>
              </w:rPr>
              <w:t>49.06%</w:t>
            </w:r>
          </w:p>
        </w:tc>
        <w:tc>
          <w:tcPr>
            <w:tcW w:w="1418" w:type="dxa"/>
            <w:tcBorders>
              <w:bottom w:val="single" w:sz="4" w:space="0" w:color="auto"/>
            </w:tcBorders>
            <w:shd w:val="clear" w:color="000000" w:fill="FFFFFF"/>
            <w:noWrap/>
            <w:vAlign w:val="bottom"/>
          </w:tcPr>
          <w:p w14:paraId="107400A4" w14:textId="3777FB75" w:rsidR="000E23C5" w:rsidRPr="0049726E" w:rsidRDefault="000E23C5" w:rsidP="000E23C5">
            <w:pPr>
              <w:jc w:val="center"/>
              <w:rPr>
                <w:color w:val="000000"/>
                <w:lang w:val="pt-BR" w:eastAsia="pt-BR"/>
              </w:rPr>
            </w:pPr>
            <w:r>
              <w:rPr>
                <w:color w:val="000000"/>
              </w:rPr>
              <w:t>5.01%</w:t>
            </w:r>
          </w:p>
        </w:tc>
        <w:tc>
          <w:tcPr>
            <w:tcW w:w="1134" w:type="dxa"/>
            <w:tcBorders>
              <w:bottom w:val="single" w:sz="4" w:space="0" w:color="auto"/>
            </w:tcBorders>
            <w:shd w:val="clear" w:color="000000" w:fill="FFFFFF"/>
            <w:noWrap/>
            <w:vAlign w:val="bottom"/>
          </w:tcPr>
          <w:p w14:paraId="4D4951B1" w14:textId="5BABEBBD" w:rsidR="000E23C5" w:rsidRPr="0049726E" w:rsidRDefault="000E23C5" w:rsidP="000E23C5">
            <w:pPr>
              <w:jc w:val="center"/>
              <w:rPr>
                <w:color w:val="000000"/>
                <w:lang w:val="pt-BR" w:eastAsia="pt-BR"/>
              </w:rPr>
            </w:pPr>
            <w:r>
              <w:rPr>
                <w:color w:val="000000"/>
              </w:rPr>
              <w:t>0.25%</w:t>
            </w:r>
          </w:p>
        </w:tc>
      </w:tr>
    </w:tbl>
    <w:p w14:paraId="279A69D9" w14:textId="69DB7DD3" w:rsidR="0049726E" w:rsidRDefault="0049726E" w:rsidP="008D2649">
      <w:pPr>
        <w:pStyle w:val="Els-body-text"/>
        <w:rPr>
          <w:lang w:val="en-GB"/>
        </w:rPr>
      </w:pPr>
    </w:p>
    <w:p w14:paraId="26BD439D" w14:textId="6EC7F5EB" w:rsidR="00731BFF" w:rsidRPr="00731BFF" w:rsidRDefault="000635B2" w:rsidP="00731BFF">
      <w:pPr>
        <w:pStyle w:val="Els-body-text"/>
        <w:rPr>
          <w:lang w:val="en-GB"/>
        </w:rPr>
      </w:pPr>
      <w:r>
        <w:rPr>
          <w:lang w:val="en-GB"/>
        </w:rPr>
        <w:t>T</w:t>
      </w:r>
      <w:r w:rsidR="00731BFF" w:rsidRPr="00731BFF">
        <w:rPr>
          <w:lang w:val="en-GB"/>
        </w:rPr>
        <w:t xml:space="preserve">he system takes an average of </w:t>
      </w:r>
      <w:r w:rsidR="00CF0DE9">
        <w:rPr>
          <w:lang w:val="en-GB"/>
        </w:rPr>
        <w:t>74</w:t>
      </w:r>
      <w:r w:rsidR="00731BFF" w:rsidRPr="00731BFF">
        <w:rPr>
          <w:lang w:val="en-GB"/>
        </w:rPr>
        <w:t xml:space="preserve"> seconds to reach steady-state operation, with </w:t>
      </w:r>
      <w:r w:rsidR="00CF0DE9">
        <w:rPr>
          <w:lang w:val="en-GB"/>
        </w:rPr>
        <w:t>35</w:t>
      </w:r>
      <w:r w:rsidR="00731BFF" w:rsidRPr="00731BFF">
        <w:rPr>
          <w:lang w:val="en-GB"/>
        </w:rPr>
        <w:t xml:space="preserve"> seconds as the minimum time and </w:t>
      </w:r>
      <w:r w:rsidR="00CF0DE9">
        <w:rPr>
          <w:lang w:val="en-GB"/>
        </w:rPr>
        <w:t>137</w:t>
      </w:r>
      <w:r w:rsidR="00731BFF" w:rsidRPr="00731BFF">
        <w:rPr>
          <w:lang w:val="en-GB"/>
        </w:rPr>
        <w:t xml:space="preserve"> seconds as the maximum. The obtained results align with</w:t>
      </w:r>
      <w:r w:rsidR="00265682">
        <w:rPr>
          <w:lang w:val="en-GB"/>
        </w:rPr>
        <w:t xml:space="preserve"> what would be theoretically expected from the system</w:t>
      </w:r>
      <w:r w:rsidR="00731BFF" w:rsidRPr="00731BFF">
        <w:rPr>
          <w:lang w:val="en-GB"/>
        </w:rPr>
        <w:t>, as in case</w:t>
      </w:r>
      <w:r w:rsidR="00265682">
        <w:rPr>
          <w:lang w:val="en-GB"/>
        </w:rPr>
        <w:t xml:space="preserve"> 4</w:t>
      </w:r>
      <w:r w:rsidR="00731BFF" w:rsidRPr="00731BFF">
        <w:rPr>
          <w:lang w:val="en-GB"/>
        </w:rPr>
        <w:t>, for instance, a</w:t>
      </w:r>
      <w:r w:rsidR="00265682">
        <w:rPr>
          <w:lang w:val="en-GB"/>
        </w:rPr>
        <w:t xml:space="preserve"> great </w:t>
      </w:r>
      <w:r w:rsidR="00731BFF" w:rsidRPr="00731BFF">
        <w:rPr>
          <w:lang w:val="en-GB"/>
        </w:rPr>
        <w:t>impact was assessed from a flow rate twice as high compared to the base case. The increased fluid spatial velocity caused it to traverse the reactor length more rapidly, resulting in a direct negative impact on CO conversion.</w:t>
      </w:r>
      <w:r w:rsidR="00CF0DE9">
        <w:rPr>
          <w:lang w:val="en-GB"/>
        </w:rPr>
        <w:t xml:space="preserve"> For the 6</w:t>
      </w:r>
      <w:r w:rsidR="00CF0DE9" w:rsidRPr="00CF0DE9">
        <w:rPr>
          <w:vertAlign w:val="superscript"/>
          <w:lang w:val="en-GB"/>
        </w:rPr>
        <w:t>th</w:t>
      </w:r>
      <w:r w:rsidR="00CF0DE9">
        <w:rPr>
          <w:lang w:val="en-GB"/>
        </w:rPr>
        <w:t xml:space="preserve"> case, </w:t>
      </w:r>
      <w:r w:rsidR="00732E15" w:rsidRPr="00732E15">
        <w:rPr>
          <w:lang w:val="en-GB"/>
        </w:rPr>
        <w:t xml:space="preserve">a notable observation is the extended duration required to attain </w:t>
      </w:r>
      <w:r w:rsidR="00732E15">
        <w:rPr>
          <w:lang w:val="en-GB"/>
        </w:rPr>
        <w:t>the</w:t>
      </w:r>
      <w:r w:rsidR="00732E15" w:rsidRPr="00732E15">
        <w:rPr>
          <w:lang w:val="en-GB"/>
        </w:rPr>
        <w:t xml:space="preserve"> steady-state condition. This prolonged period correlates with a heightened CO conversion, consequently amplifying the thermal effects within the system</w:t>
      </w:r>
      <w:r w:rsidR="00732E15">
        <w:rPr>
          <w:lang w:val="en-GB"/>
        </w:rPr>
        <w:t xml:space="preserve"> due to the escalated heat release from the reaction</w:t>
      </w:r>
      <w:r w:rsidR="00732E15" w:rsidRPr="00732E15">
        <w:rPr>
          <w:lang w:val="en-GB"/>
        </w:rPr>
        <w:t xml:space="preserve">, thereby prolonging </w:t>
      </w:r>
      <w:r w:rsidR="00732E15">
        <w:rPr>
          <w:lang w:val="en-GB"/>
        </w:rPr>
        <w:t>temperature</w:t>
      </w:r>
      <w:r w:rsidR="00732E15" w:rsidRPr="00732E15">
        <w:rPr>
          <w:lang w:val="en-GB"/>
        </w:rPr>
        <w:t xml:space="preserve"> stabilization</w:t>
      </w:r>
      <w:r w:rsidR="00732E15">
        <w:rPr>
          <w:lang w:val="en-GB"/>
        </w:rPr>
        <w:t>.</w:t>
      </w:r>
      <w:r w:rsidR="000F272E">
        <w:rPr>
          <w:lang w:val="en-GB"/>
        </w:rPr>
        <w:t xml:space="preserve"> </w:t>
      </w:r>
      <w:r w:rsidR="00CF0DE9">
        <w:rPr>
          <w:lang w:val="en-GB"/>
        </w:rPr>
        <w:t xml:space="preserve"> </w:t>
      </w:r>
    </w:p>
    <w:p w14:paraId="5DC58888" w14:textId="65579B55" w:rsidR="00731BFF" w:rsidRDefault="00731BFF" w:rsidP="00731BFF">
      <w:pPr>
        <w:pStyle w:val="Els-body-text"/>
        <w:rPr>
          <w:lang w:val="en-GB"/>
        </w:rPr>
      </w:pPr>
      <w:r w:rsidRPr="00731BFF">
        <w:rPr>
          <w:lang w:val="en-GB"/>
        </w:rPr>
        <w:t xml:space="preserve">Other evaluated cases also align with theoretical expectations. The temperature increase demonstrated the capability to </w:t>
      </w:r>
      <w:r w:rsidR="00265682">
        <w:rPr>
          <w:lang w:val="en-GB"/>
        </w:rPr>
        <w:t>rise</w:t>
      </w:r>
      <w:r w:rsidRPr="00731BFF">
        <w:rPr>
          <w:lang w:val="en-GB"/>
        </w:rPr>
        <w:t xml:space="preserve"> CO conversion. However, at the same time, it reduced the selectivity towards larger hydrocarbon chains, showcasing a disadvantage to processes aiming, for example, to produce aviation kerosene (which encompasses hydrocarbons with chains with more than 8 carbons in it). The syngas ratio also yielded significant impacts, especially towards products </w:t>
      </w:r>
      <w:proofErr w:type="spellStart"/>
      <w:r w:rsidRPr="00731BFF">
        <w:rPr>
          <w:lang w:val="en-GB"/>
        </w:rPr>
        <w:t>selectivities</w:t>
      </w:r>
      <w:proofErr w:type="spellEnd"/>
      <w:r w:rsidRPr="00731BFF">
        <w:rPr>
          <w:lang w:val="en-GB"/>
        </w:rPr>
        <w:t>. A higher ratio of H</w:t>
      </w:r>
      <w:r w:rsidRPr="00AA30AA">
        <w:rPr>
          <w:vertAlign w:val="subscript"/>
          <w:lang w:val="en-GB"/>
        </w:rPr>
        <w:t>2</w:t>
      </w:r>
      <w:r w:rsidRPr="00731BFF">
        <w:rPr>
          <w:lang w:val="en-GB"/>
        </w:rPr>
        <w:t xml:space="preserve">/CO has been showed to be capable of achieving higher </w:t>
      </w:r>
      <w:proofErr w:type="spellStart"/>
      <w:r w:rsidRPr="00731BFF">
        <w:rPr>
          <w:lang w:val="en-GB"/>
        </w:rPr>
        <w:t>selectivities</w:t>
      </w:r>
      <w:proofErr w:type="spellEnd"/>
      <w:r w:rsidRPr="00731BFF">
        <w:rPr>
          <w:lang w:val="en-GB"/>
        </w:rPr>
        <w:t xml:space="preserve"> solely for lighter hydrocarbons, jeopardizing the production of higher chain compounds.</w:t>
      </w:r>
      <w:r w:rsidR="00AA30AA">
        <w:rPr>
          <w:lang w:val="en-GB"/>
        </w:rPr>
        <w:t xml:space="preserve"> Finally, the scenario 2 was considered to be the best, regardless of the higher required time to reach its equilibrium</w:t>
      </w:r>
      <w:r w:rsidR="00265682">
        <w:rPr>
          <w:lang w:val="en-GB"/>
        </w:rPr>
        <w:t xml:space="preserve"> or the slightly lower </w:t>
      </w:r>
      <w:proofErr w:type="spellStart"/>
      <w:r w:rsidR="00265682">
        <w:rPr>
          <w:lang w:val="en-GB"/>
        </w:rPr>
        <w:t>selectivities</w:t>
      </w:r>
      <w:proofErr w:type="spellEnd"/>
      <w:r w:rsidR="00265682">
        <w:rPr>
          <w:lang w:val="en-GB"/>
        </w:rPr>
        <w:t xml:space="preserve"> towards higher chain hydrocarbons,</w:t>
      </w:r>
      <w:r w:rsidR="00AA30AA">
        <w:rPr>
          <w:lang w:val="en-GB"/>
        </w:rPr>
        <w:t xml:space="preserve"> </w:t>
      </w:r>
      <w:r w:rsidR="00265682">
        <w:rPr>
          <w:lang w:val="en-GB"/>
        </w:rPr>
        <w:t>the operation condition was able to</w:t>
      </w:r>
      <w:r w:rsidR="00AA30AA">
        <w:rPr>
          <w:lang w:val="en-GB"/>
        </w:rPr>
        <w:t xml:space="preserve"> convert the most out of CO and had the highest</w:t>
      </w:r>
      <w:r w:rsidR="00265682">
        <w:rPr>
          <w:lang w:val="en-GB"/>
        </w:rPr>
        <w:t xml:space="preserve"> overall</w:t>
      </w:r>
      <w:r w:rsidR="00AA30AA">
        <w:rPr>
          <w:lang w:val="en-GB"/>
        </w:rPr>
        <w:t xml:space="preserve"> yield of hydrocarbons that could be blended together into fuels.</w:t>
      </w:r>
    </w:p>
    <w:p w14:paraId="144DE6BA" w14:textId="77777777" w:rsidR="008D2649" w:rsidRPr="00A94774" w:rsidRDefault="008D2649" w:rsidP="008D2649">
      <w:pPr>
        <w:pStyle w:val="Els-1storder-head"/>
        <w:spacing w:after="120"/>
        <w:rPr>
          <w:lang w:val="en-GB"/>
        </w:rPr>
      </w:pPr>
      <w:r w:rsidRPr="00A94774">
        <w:rPr>
          <w:lang w:val="en-GB"/>
        </w:rPr>
        <w:t>Conclusions</w:t>
      </w:r>
    </w:p>
    <w:p w14:paraId="7C64CD11" w14:textId="63865A63" w:rsidR="00451F3D" w:rsidRPr="00451F3D" w:rsidRDefault="00451F3D" w:rsidP="008D2649">
      <w:pPr>
        <w:pStyle w:val="Els-body-text"/>
        <w:spacing w:after="120"/>
      </w:pPr>
      <w:r w:rsidRPr="00451F3D">
        <w:t>A dynamic model of a fixed-bed reactor for Fischer-</w:t>
      </w:r>
      <w:proofErr w:type="spellStart"/>
      <w:r w:rsidRPr="00451F3D">
        <w:t>Tropsch</w:t>
      </w:r>
      <w:proofErr w:type="spellEnd"/>
      <w:r w:rsidRPr="00451F3D">
        <w:t xml:space="preserve"> synthesis was developed and its behavior studied. Employing mass and energy balances and utilizing the Ergun Equation to assess pressure drop in the bed, not only conversions and </w:t>
      </w:r>
      <w:proofErr w:type="spellStart"/>
      <w:r w:rsidRPr="00451F3D">
        <w:t>selectivities</w:t>
      </w:r>
      <w:proofErr w:type="spellEnd"/>
      <w:r w:rsidRPr="00451F3D">
        <w:t xml:space="preserve"> were unveiled but also the theoretical time for the system to reach steady-state was evaluated. In general terms, the system exhibited short times to achieve equilibrium, with an average value close to one minute. Furthermore, it was observed that reductions in inlet flow rates </w:t>
      </w:r>
      <w:r w:rsidRPr="00451F3D">
        <w:lastRenderedPageBreak/>
        <w:t>and the increment in inlet temperature or H</w:t>
      </w:r>
      <w:r w:rsidRPr="00451F3D">
        <w:rPr>
          <w:vertAlign w:val="subscript"/>
        </w:rPr>
        <w:t>2</w:t>
      </w:r>
      <w:r w:rsidRPr="00451F3D">
        <w:t>/CO ratio led to longer times required for the system’s stabilization. Among the evaluated conditions, the temperature increase tested in case 2 yielded the most favorable results for hydrocarbon yields with chain lengths suitable for blending into commercial fuels.</w:t>
      </w:r>
    </w:p>
    <w:p w14:paraId="3AEA82B6" w14:textId="1D7F1A3B" w:rsidR="008733D3" w:rsidRPr="00A94774" w:rsidRDefault="008733D3" w:rsidP="008733D3">
      <w:pPr>
        <w:pStyle w:val="Els-1storder-head"/>
        <w:spacing w:after="120"/>
        <w:rPr>
          <w:lang w:val="en-GB"/>
        </w:rPr>
      </w:pPr>
      <w:r w:rsidRPr="008733D3">
        <w:rPr>
          <w:lang w:val="en-GB"/>
        </w:rPr>
        <w:t>Acknowledgements</w:t>
      </w:r>
    </w:p>
    <w:p w14:paraId="10596FF0" w14:textId="7CE9B19B" w:rsidR="008733D3" w:rsidRPr="008733D3" w:rsidRDefault="008733D3" w:rsidP="008D2649">
      <w:pPr>
        <w:pStyle w:val="Els-body-text"/>
        <w:spacing w:after="120"/>
      </w:pPr>
      <w:r w:rsidRPr="008733D3">
        <w:t>Th</w:t>
      </w:r>
      <w:r w:rsidR="00B87345">
        <w:t xml:space="preserve">e authors gratefully acknowledge </w:t>
      </w:r>
      <w:r w:rsidR="00B87345" w:rsidRPr="00E509DD">
        <w:rPr>
          <w:noProof/>
          <w:spacing w:val="-3"/>
        </w:rPr>
        <w:t>the</w:t>
      </w:r>
      <w:r w:rsidR="00B87345">
        <w:rPr>
          <w:noProof/>
          <w:spacing w:val="-3"/>
        </w:rPr>
        <w:t xml:space="preserve"> support of the São Paulo Research Foundation (</w:t>
      </w:r>
      <w:r w:rsidR="00B87345" w:rsidRPr="00E509DD">
        <w:rPr>
          <w:noProof/>
          <w:spacing w:val="-3"/>
        </w:rPr>
        <w:t>FAPESP</w:t>
      </w:r>
      <w:r w:rsidR="00B87345">
        <w:rPr>
          <w:noProof/>
          <w:spacing w:val="-3"/>
        </w:rPr>
        <w:t>)</w:t>
      </w:r>
      <w:r w:rsidRPr="008733D3">
        <w:t xml:space="preserve"> </w:t>
      </w:r>
      <w:r w:rsidR="00B87345">
        <w:t>(</w:t>
      </w:r>
      <w:r w:rsidRPr="008733D3">
        <w:t>2022/04751-0</w:t>
      </w:r>
      <w:r w:rsidR="00B87345">
        <w:t xml:space="preserve">; 2023/08268-4), </w:t>
      </w:r>
      <w:r w:rsidR="00B87345" w:rsidRPr="00E509DD">
        <w:rPr>
          <w:noProof/>
          <w:spacing w:val="-3"/>
        </w:rPr>
        <w:t xml:space="preserve">the National Council for Scientific and Technological Development </w:t>
      </w:r>
      <w:r w:rsidR="00B87345">
        <w:rPr>
          <w:noProof/>
          <w:spacing w:val="-3"/>
        </w:rPr>
        <w:t>(</w:t>
      </w:r>
      <w:proofErr w:type="spellStart"/>
      <w:r w:rsidRPr="008733D3">
        <w:t>CNPq</w:t>
      </w:r>
      <w:proofErr w:type="spellEnd"/>
      <w:r w:rsidR="00B87345">
        <w:t>)</w:t>
      </w:r>
      <w:r w:rsidRPr="008733D3">
        <w:t xml:space="preserve"> (310125/2021-9</w:t>
      </w:r>
      <w:r w:rsidR="00B87345">
        <w:t>; 314598/2021-9), and the</w:t>
      </w:r>
      <w:r w:rsidR="00B87345" w:rsidRPr="00E509DD">
        <w:rPr>
          <w:noProof/>
          <w:spacing w:val="-3"/>
        </w:rPr>
        <w:t xml:space="preserve"> Coordination for the Improvement of Higher Edu</w:t>
      </w:r>
      <w:r w:rsidR="00B87345">
        <w:rPr>
          <w:noProof/>
          <w:spacing w:val="-3"/>
        </w:rPr>
        <w:t>cation Personnel (CAPES)</w:t>
      </w:r>
      <w:r w:rsidR="00B87345" w:rsidRPr="00E509DD">
        <w:rPr>
          <w:noProof/>
          <w:spacing w:val="-3"/>
        </w:rPr>
        <w:t xml:space="preserve"> </w:t>
      </w:r>
      <w:r w:rsidR="00B87345">
        <w:rPr>
          <w:noProof/>
          <w:spacing w:val="-3"/>
        </w:rPr>
        <w:t>(</w:t>
      </w:r>
      <w:r w:rsidR="00B87345" w:rsidRPr="00E509DD">
        <w:rPr>
          <w:noProof/>
          <w:spacing w:val="-3"/>
        </w:rPr>
        <w:t>Finance Code 001</w:t>
      </w:r>
      <w:r w:rsidR="00B87345">
        <w:rPr>
          <w:noProof/>
          <w:spacing w:val="-3"/>
        </w:rPr>
        <w:t>).</w:t>
      </w:r>
    </w:p>
    <w:p w14:paraId="144DE6BF" w14:textId="2C890617" w:rsidR="008D2649" w:rsidRDefault="008D2649" w:rsidP="008D2649">
      <w:pPr>
        <w:pStyle w:val="Els-reference-head"/>
      </w:pPr>
      <w:r>
        <w:t>References</w:t>
      </w:r>
    </w:p>
    <w:p w14:paraId="1FBB6CDC" w14:textId="04BA317E" w:rsidR="00417F21" w:rsidRDefault="00417F21" w:rsidP="00417F21">
      <w:pPr>
        <w:pStyle w:val="Els-referenceno-number"/>
        <w:rPr>
          <w:lang w:val="en-US"/>
        </w:rPr>
      </w:pPr>
    </w:p>
    <w:p w14:paraId="7609708F" w14:textId="66A33F78" w:rsidR="009017CA" w:rsidRPr="00417F21" w:rsidRDefault="009017CA" w:rsidP="009017CA">
      <w:pPr>
        <w:pStyle w:val="Els-referenceno-number"/>
        <w:jc w:val="both"/>
        <w:rPr>
          <w:lang w:val="en-US"/>
        </w:rPr>
      </w:pPr>
      <w:r>
        <w:rPr>
          <w:lang w:val="en-US"/>
        </w:rPr>
        <w:t xml:space="preserve">A. </w:t>
      </w:r>
      <w:r w:rsidRPr="009017CA">
        <w:rPr>
          <w:lang w:val="en-US"/>
        </w:rPr>
        <w:t xml:space="preserve">Jess, </w:t>
      </w:r>
      <w:r>
        <w:rPr>
          <w:lang w:val="en-US"/>
        </w:rPr>
        <w:t xml:space="preserve">C. </w:t>
      </w:r>
      <w:r w:rsidRPr="009017CA">
        <w:rPr>
          <w:lang w:val="en-US"/>
        </w:rPr>
        <w:t>Kern, 2009</w:t>
      </w:r>
      <w:r>
        <w:rPr>
          <w:lang w:val="en-US"/>
        </w:rPr>
        <w:t>,</w:t>
      </w:r>
      <w:r w:rsidRPr="009017CA">
        <w:rPr>
          <w:lang w:val="en-US"/>
        </w:rPr>
        <w:t xml:space="preserve"> Modeling of Multi‐Tubular Reactors for Fischer‐Tropsch Synthesis</w:t>
      </w:r>
      <w:r>
        <w:rPr>
          <w:lang w:val="en-US"/>
        </w:rPr>
        <w:t xml:space="preserve">, </w:t>
      </w:r>
      <w:r w:rsidRPr="009017CA">
        <w:rPr>
          <w:lang w:val="en-US"/>
        </w:rPr>
        <w:t>Chemical Engineering &amp; Technology: Industrial Chemistry‐Plant Equipment‐Process Engineering‐Biotechnology, 32</w:t>
      </w:r>
      <w:r>
        <w:rPr>
          <w:lang w:val="en-US"/>
        </w:rPr>
        <w:t xml:space="preserve">, </w:t>
      </w:r>
      <w:r w:rsidRPr="009017CA">
        <w:rPr>
          <w:lang w:val="en-US"/>
        </w:rPr>
        <w:t>8, 1164-1175.</w:t>
      </w:r>
    </w:p>
    <w:p w14:paraId="188CBD94" w14:textId="77777777" w:rsidR="00243ECA" w:rsidRDefault="00243ECA" w:rsidP="009017CA">
      <w:pPr>
        <w:pStyle w:val="Els-referenceno-number"/>
        <w:jc w:val="both"/>
        <w:rPr>
          <w:lang w:val="en-US"/>
        </w:rPr>
      </w:pPr>
      <w:r>
        <w:rPr>
          <w:lang w:val="en-US"/>
        </w:rPr>
        <w:t xml:space="preserve">C. I. </w:t>
      </w:r>
      <w:r w:rsidRPr="00417F21">
        <w:rPr>
          <w:lang w:val="en-US"/>
        </w:rPr>
        <w:t xml:space="preserve">Méndez, </w:t>
      </w:r>
      <w:r>
        <w:rPr>
          <w:lang w:val="en-US"/>
        </w:rPr>
        <w:t>J.</w:t>
      </w:r>
      <w:r w:rsidRPr="00417F21">
        <w:rPr>
          <w:lang w:val="en-US"/>
        </w:rPr>
        <w:t xml:space="preserve"> Ancheyta, </w:t>
      </w:r>
      <w:r>
        <w:rPr>
          <w:lang w:val="en-US"/>
        </w:rPr>
        <w:t>F.</w:t>
      </w:r>
      <w:r w:rsidRPr="00417F21">
        <w:rPr>
          <w:lang w:val="en-US"/>
        </w:rPr>
        <w:t xml:space="preserve"> Trejo, 2017</w:t>
      </w:r>
      <w:r>
        <w:rPr>
          <w:lang w:val="en-US"/>
        </w:rPr>
        <w:t>,</w:t>
      </w:r>
      <w:r w:rsidRPr="00417F21">
        <w:rPr>
          <w:lang w:val="en-US"/>
        </w:rPr>
        <w:t xml:space="preserve"> Modeling of catalytic fixed-bed reactors for fuels production by Fischer–Tropsch synthesis</w:t>
      </w:r>
      <w:r>
        <w:rPr>
          <w:lang w:val="en-US"/>
        </w:rPr>
        <w:t>,</w:t>
      </w:r>
      <w:r w:rsidRPr="00417F21">
        <w:rPr>
          <w:lang w:val="en-US"/>
        </w:rPr>
        <w:t xml:space="preserve"> Energy &amp; fuels, 31</w:t>
      </w:r>
      <w:r>
        <w:rPr>
          <w:lang w:val="en-US"/>
        </w:rPr>
        <w:t xml:space="preserve">, </w:t>
      </w:r>
      <w:r w:rsidRPr="00417F21">
        <w:rPr>
          <w:lang w:val="en-US"/>
        </w:rPr>
        <w:t>12, 13011-13042.</w:t>
      </w:r>
    </w:p>
    <w:p w14:paraId="6A519434" w14:textId="77777777" w:rsidR="00243ECA" w:rsidRDefault="00243ECA" w:rsidP="009017CA">
      <w:pPr>
        <w:pStyle w:val="Els-referenceno-number"/>
        <w:jc w:val="both"/>
        <w:rPr>
          <w:lang w:val="en-US"/>
        </w:rPr>
      </w:pPr>
      <w:r>
        <w:rPr>
          <w:lang w:val="en-US"/>
        </w:rPr>
        <w:t xml:space="preserve">D. </w:t>
      </w:r>
      <w:r w:rsidRPr="000A2698">
        <w:rPr>
          <w:lang w:val="en-US"/>
        </w:rPr>
        <w:t xml:space="preserve">Förtsch, </w:t>
      </w:r>
      <w:r>
        <w:rPr>
          <w:lang w:val="en-US"/>
        </w:rPr>
        <w:t>K.</w:t>
      </w:r>
      <w:r w:rsidRPr="000A2698">
        <w:rPr>
          <w:lang w:val="en-US"/>
        </w:rPr>
        <w:t xml:space="preserve"> Pabst, </w:t>
      </w:r>
      <w:r>
        <w:rPr>
          <w:lang w:val="en-US"/>
        </w:rPr>
        <w:t>E.</w:t>
      </w:r>
      <w:r w:rsidRPr="000A2698">
        <w:rPr>
          <w:lang w:val="en-US"/>
        </w:rPr>
        <w:t xml:space="preserve"> Groß-Hardt,</w:t>
      </w:r>
      <w:r>
        <w:rPr>
          <w:lang w:val="en-US"/>
        </w:rPr>
        <w:t xml:space="preserve"> </w:t>
      </w:r>
      <w:r w:rsidRPr="000A2698">
        <w:rPr>
          <w:lang w:val="en-US"/>
        </w:rPr>
        <w:t>2015</w:t>
      </w:r>
      <w:r>
        <w:rPr>
          <w:lang w:val="en-US"/>
        </w:rPr>
        <w:t>,</w:t>
      </w:r>
      <w:r w:rsidRPr="000A2698">
        <w:rPr>
          <w:lang w:val="en-US"/>
        </w:rPr>
        <w:t xml:space="preserve"> The product distribution in Fischer–Tropsch synthesis: An extension of the ASF model to describe common deviations</w:t>
      </w:r>
      <w:r>
        <w:rPr>
          <w:lang w:val="en-US"/>
        </w:rPr>
        <w:t>,</w:t>
      </w:r>
      <w:r w:rsidRPr="000A2698">
        <w:rPr>
          <w:lang w:val="en-US"/>
        </w:rPr>
        <w:t xml:space="preserve"> Chemical Engineering Science, 138, 333-346.</w:t>
      </w:r>
    </w:p>
    <w:p w14:paraId="56AF8CFE" w14:textId="77777777" w:rsidR="00243ECA" w:rsidRDefault="00243ECA" w:rsidP="009017CA">
      <w:pPr>
        <w:pStyle w:val="Els-referenceno-number"/>
        <w:jc w:val="both"/>
        <w:rPr>
          <w:lang w:val="en-US"/>
        </w:rPr>
      </w:pPr>
      <w:r w:rsidRPr="000A2698">
        <w:rPr>
          <w:lang w:val="en-US"/>
        </w:rPr>
        <w:t>D. Vervloet, F. Kapteijn, J. Nijenhuis, J.R. Van Ommen, 2012</w:t>
      </w:r>
      <w:r>
        <w:rPr>
          <w:lang w:val="en-US"/>
        </w:rPr>
        <w:t>,</w:t>
      </w:r>
      <w:r w:rsidRPr="000A2698">
        <w:rPr>
          <w:lang w:val="en-US"/>
        </w:rPr>
        <w:t xml:space="preserve"> Fischer–Tropsch reaction–diffusion in a cobalt catalyst particle: aspects of activity and selectivity for a variable chain growth probability</w:t>
      </w:r>
      <w:r>
        <w:rPr>
          <w:lang w:val="en-US"/>
        </w:rPr>
        <w:t>,</w:t>
      </w:r>
      <w:r w:rsidRPr="000A2698">
        <w:rPr>
          <w:lang w:val="en-US"/>
        </w:rPr>
        <w:t xml:space="preserve"> Catalysis Science &amp; Technology, 2</w:t>
      </w:r>
      <w:r>
        <w:rPr>
          <w:lang w:val="en-US"/>
        </w:rPr>
        <w:t xml:space="preserve">, </w:t>
      </w:r>
      <w:r w:rsidRPr="000A2698">
        <w:rPr>
          <w:lang w:val="en-US"/>
        </w:rPr>
        <w:t>6, 1221-1233.</w:t>
      </w:r>
    </w:p>
    <w:p w14:paraId="27C0E103" w14:textId="77777777" w:rsidR="00243ECA" w:rsidRDefault="00243ECA" w:rsidP="009017CA">
      <w:pPr>
        <w:pStyle w:val="Els-referenceno-number"/>
        <w:jc w:val="both"/>
        <w:rPr>
          <w:lang w:val="en-US"/>
        </w:rPr>
      </w:pPr>
      <w:r>
        <w:rPr>
          <w:lang w:val="en-US"/>
        </w:rPr>
        <w:t xml:space="preserve">D. </w:t>
      </w:r>
      <w:r w:rsidRPr="000A2698">
        <w:rPr>
          <w:lang w:val="en-US"/>
        </w:rPr>
        <w:t xml:space="preserve">Wang, </w:t>
      </w:r>
      <w:r>
        <w:rPr>
          <w:lang w:val="en-US"/>
        </w:rPr>
        <w:t xml:space="preserve">C. </w:t>
      </w:r>
      <w:r w:rsidRPr="000A2698">
        <w:rPr>
          <w:lang w:val="en-US"/>
        </w:rPr>
        <w:t xml:space="preserve">Chen, </w:t>
      </w:r>
      <w:r>
        <w:rPr>
          <w:lang w:val="en-US"/>
        </w:rPr>
        <w:t>J.</w:t>
      </w:r>
      <w:r w:rsidRPr="000A2698">
        <w:rPr>
          <w:lang w:val="en-US"/>
        </w:rPr>
        <w:t xml:space="preserve"> Wang, </w:t>
      </w:r>
      <w:r>
        <w:rPr>
          <w:lang w:val="en-US"/>
        </w:rPr>
        <w:t>L.</w:t>
      </w:r>
      <w:r w:rsidRPr="000A2698">
        <w:rPr>
          <w:lang w:val="en-US"/>
        </w:rPr>
        <w:t xml:space="preserve"> Jia, </w:t>
      </w:r>
      <w:r>
        <w:rPr>
          <w:lang w:val="en-US"/>
        </w:rPr>
        <w:t>B.</w:t>
      </w:r>
      <w:r w:rsidRPr="000A2698">
        <w:rPr>
          <w:lang w:val="en-US"/>
        </w:rPr>
        <w:t xml:space="preserve"> Hou, </w:t>
      </w:r>
      <w:r>
        <w:rPr>
          <w:lang w:val="en-US"/>
        </w:rPr>
        <w:t>D.</w:t>
      </w:r>
      <w:r w:rsidRPr="000A2698">
        <w:rPr>
          <w:lang w:val="en-US"/>
        </w:rPr>
        <w:t xml:space="preserve"> Li, 2016</w:t>
      </w:r>
      <w:r>
        <w:rPr>
          <w:lang w:val="en-US"/>
        </w:rPr>
        <w:t>,</w:t>
      </w:r>
      <w:r w:rsidRPr="000A2698">
        <w:rPr>
          <w:lang w:val="en-US"/>
        </w:rPr>
        <w:t xml:space="preserve"> High thermal conductive core-shell structured Al</w:t>
      </w:r>
      <w:r w:rsidRPr="000A2698">
        <w:rPr>
          <w:vertAlign w:val="subscript"/>
          <w:lang w:val="en-US"/>
        </w:rPr>
        <w:t>2</w:t>
      </w:r>
      <w:r w:rsidRPr="000A2698">
        <w:rPr>
          <w:lang w:val="en-US"/>
        </w:rPr>
        <w:t>O</w:t>
      </w:r>
      <w:r w:rsidRPr="000A2698">
        <w:rPr>
          <w:vertAlign w:val="subscript"/>
          <w:lang w:val="en-US"/>
        </w:rPr>
        <w:t>3</w:t>
      </w:r>
      <w:r w:rsidRPr="000A2698">
        <w:rPr>
          <w:lang w:val="en-US"/>
        </w:rPr>
        <w:t>@ Al composite supported cobalt catalyst for Fischer-Tropsch synthesis</w:t>
      </w:r>
      <w:r>
        <w:rPr>
          <w:lang w:val="en-US"/>
        </w:rPr>
        <w:t>,</w:t>
      </w:r>
      <w:r w:rsidRPr="000A2698">
        <w:rPr>
          <w:lang w:val="en-US"/>
        </w:rPr>
        <w:t xml:space="preserve"> Applied catalysis a: General, 527, 60-71.</w:t>
      </w:r>
    </w:p>
    <w:p w14:paraId="2D8509C8" w14:textId="77777777" w:rsidR="00243ECA" w:rsidRDefault="00243ECA" w:rsidP="009017CA">
      <w:pPr>
        <w:pStyle w:val="Els-referenceno-number"/>
        <w:jc w:val="both"/>
        <w:rPr>
          <w:lang w:val="en-US"/>
        </w:rPr>
      </w:pPr>
      <w:r w:rsidRPr="000A2698">
        <w:rPr>
          <w:lang w:val="en-US"/>
        </w:rPr>
        <w:t>F. Benyahia</w:t>
      </w:r>
      <w:r>
        <w:rPr>
          <w:lang w:val="en-US"/>
        </w:rPr>
        <w:t>,</w:t>
      </w:r>
      <w:r w:rsidRPr="000A2698">
        <w:rPr>
          <w:lang w:val="en-US"/>
        </w:rPr>
        <w:t xml:space="preserve"> K. E. O'Neill</w:t>
      </w:r>
      <w:r>
        <w:rPr>
          <w:lang w:val="en-US"/>
        </w:rPr>
        <w:t xml:space="preserve">, </w:t>
      </w:r>
      <w:r w:rsidRPr="000A2698">
        <w:rPr>
          <w:lang w:val="en-US"/>
        </w:rPr>
        <w:t>2005</w:t>
      </w:r>
      <w:r>
        <w:rPr>
          <w:lang w:val="en-US"/>
        </w:rPr>
        <w:t>,</w:t>
      </w:r>
      <w:r w:rsidRPr="000A2698">
        <w:rPr>
          <w:lang w:val="en-US"/>
        </w:rPr>
        <w:t xml:space="preserve"> Enhanced Voidage Correlations for Packed Beds of Various Particle Shapes and Sizes, Particulate Science and Technology, 23</w:t>
      </w:r>
      <w:r>
        <w:rPr>
          <w:lang w:val="en-US"/>
        </w:rPr>
        <w:t xml:space="preserve">, </w:t>
      </w:r>
      <w:r w:rsidRPr="000A2698">
        <w:rPr>
          <w:lang w:val="en-US"/>
        </w:rPr>
        <w:t>2, 169-177</w:t>
      </w:r>
      <w:r>
        <w:rPr>
          <w:lang w:val="en-US"/>
        </w:rPr>
        <w:t>.</w:t>
      </w:r>
    </w:p>
    <w:p w14:paraId="63D50164" w14:textId="77777777" w:rsidR="00243ECA" w:rsidRDefault="00243ECA" w:rsidP="009017CA">
      <w:pPr>
        <w:pStyle w:val="Els-referenceno-number"/>
        <w:jc w:val="both"/>
        <w:rPr>
          <w:lang w:val="en-US"/>
        </w:rPr>
      </w:pPr>
      <w:r w:rsidRPr="00417F21">
        <w:rPr>
          <w:lang w:val="en-US"/>
        </w:rPr>
        <w:t>F. Sauerhöfer-Rodrigo, I. Díaz, M. Rodríguez, P. Pérez, 2023, Modelling of fixed bed and slurry bubble column reactors for Fischer–Tropsch synthesis. Reviews in Chemical Engineering.</w:t>
      </w:r>
    </w:p>
    <w:p w14:paraId="7DA33AF5" w14:textId="77777777" w:rsidR="00243ECA" w:rsidRDefault="00243ECA" w:rsidP="009017CA">
      <w:pPr>
        <w:pStyle w:val="Els-referenceno-number"/>
        <w:jc w:val="both"/>
        <w:rPr>
          <w:lang w:val="en-US"/>
        </w:rPr>
      </w:pPr>
      <w:r>
        <w:rPr>
          <w:lang w:val="en-US"/>
        </w:rPr>
        <w:t xml:space="preserve">H. </w:t>
      </w:r>
      <w:r w:rsidRPr="00417F21">
        <w:rPr>
          <w:lang w:val="en-US"/>
        </w:rPr>
        <w:t xml:space="preserve">Mahmoudi, </w:t>
      </w:r>
      <w:r>
        <w:rPr>
          <w:lang w:val="en-US"/>
        </w:rPr>
        <w:t xml:space="preserve">M. </w:t>
      </w:r>
      <w:r w:rsidRPr="00417F21">
        <w:rPr>
          <w:lang w:val="en-US"/>
        </w:rPr>
        <w:t xml:space="preserve">Mahmoudi, </w:t>
      </w:r>
      <w:r>
        <w:rPr>
          <w:lang w:val="en-US"/>
        </w:rPr>
        <w:t xml:space="preserve">O. </w:t>
      </w:r>
      <w:r w:rsidRPr="00417F21">
        <w:rPr>
          <w:lang w:val="en-US"/>
        </w:rPr>
        <w:t>Doustdar,</w:t>
      </w:r>
      <w:r>
        <w:rPr>
          <w:lang w:val="en-US"/>
        </w:rPr>
        <w:t xml:space="preserve"> H.</w:t>
      </w:r>
      <w:r w:rsidRPr="00417F21">
        <w:rPr>
          <w:lang w:val="en-US"/>
        </w:rPr>
        <w:t xml:space="preserve"> Jahangiri,</w:t>
      </w:r>
      <w:r>
        <w:rPr>
          <w:lang w:val="en-US"/>
        </w:rPr>
        <w:t xml:space="preserve"> A.</w:t>
      </w:r>
      <w:r w:rsidRPr="00417F21">
        <w:rPr>
          <w:lang w:val="en-US"/>
        </w:rPr>
        <w:t xml:space="preserve"> Tsolakis,</w:t>
      </w:r>
      <w:r>
        <w:rPr>
          <w:lang w:val="en-US"/>
        </w:rPr>
        <w:t xml:space="preserve"> S.</w:t>
      </w:r>
      <w:r w:rsidRPr="00417F21">
        <w:rPr>
          <w:lang w:val="en-US"/>
        </w:rPr>
        <w:t xml:space="preserve"> Gu,</w:t>
      </w:r>
      <w:r>
        <w:rPr>
          <w:lang w:val="en-US"/>
        </w:rPr>
        <w:t xml:space="preserve"> M.</w:t>
      </w:r>
      <w:r w:rsidRPr="00417F21">
        <w:rPr>
          <w:lang w:val="en-US"/>
        </w:rPr>
        <w:t xml:space="preserve"> LechWyszynski, 2017</w:t>
      </w:r>
      <w:r>
        <w:rPr>
          <w:lang w:val="en-US"/>
        </w:rPr>
        <w:t>,</w:t>
      </w:r>
      <w:r w:rsidRPr="00417F21">
        <w:rPr>
          <w:lang w:val="en-US"/>
        </w:rPr>
        <w:t xml:space="preserve"> A review of Fischer Tropsch synthesis process, mechanism, surface chemistry and catalyst formulation</w:t>
      </w:r>
      <w:r>
        <w:rPr>
          <w:lang w:val="en-US"/>
        </w:rPr>
        <w:t>,</w:t>
      </w:r>
      <w:r w:rsidRPr="00417F21">
        <w:rPr>
          <w:lang w:val="en-US"/>
        </w:rPr>
        <w:t xml:space="preserve"> Biofuels Engineering, 2</w:t>
      </w:r>
      <w:r>
        <w:rPr>
          <w:lang w:val="en-US"/>
        </w:rPr>
        <w:t xml:space="preserve">, </w:t>
      </w:r>
      <w:r w:rsidRPr="00417F21">
        <w:rPr>
          <w:lang w:val="en-US"/>
        </w:rPr>
        <w:t>1, 11-31</w:t>
      </w:r>
      <w:r>
        <w:rPr>
          <w:lang w:val="en-US"/>
        </w:rPr>
        <w:t>.</w:t>
      </w:r>
    </w:p>
    <w:p w14:paraId="7A19BCD7" w14:textId="77777777" w:rsidR="00243ECA" w:rsidRDefault="00243ECA" w:rsidP="009017CA">
      <w:pPr>
        <w:pStyle w:val="Els-referenceno-number"/>
        <w:jc w:val="both"/>
        <w:rPr>
          <w:lang w:val="en-US"/>
        </w:rPr>
      </w:pPr>
      <w:r>
        <w:rPr>
          <w:lang w:val="en-US"/>
        </w:rPr>
        <w:t xml:space="preserve">M. H. </w:t>
      </w:r>
      <w:r w:rsidRPr="000A2698">
        <w:rPr>
          <w:lang w:val="en-US"/>
        </w:rPr>
        <w:t>Rafiq,</w:t>
      </w:r>
      <w:r>
        <w:rPr>
          <w:lang w:val="en-US"/>
        </w:rPr>
        <w:t xml:space="preserve"> H.</w:t>
      </w:r>
      <w:r w:rsidRPr="000A2698">
        <w:rPr>
          <w:lang w:val="en-US"/>
        </w:rPr>
        <w:t xml:space="preserve"> </w:t>
      </w:r>
      <w:r>
        <w:rPr>
          <w:lang w:val="en-US"/>
        </w:rPr>
        <w:t xml:space="preserve">A. </w:t>
      </w:r>
      <w:r w:rsidRPr="000A2698">
        <w:rPr>
          <w:lang w:val="en-US"/>
        </w:rPr>
        <w:t xml:space="preserve">Jakobsen, </w:t>
      </w:r>
      <w:r>
        <w:rPr>
          <w:lang w:val="en-US"/>
        </w:rPr>
        <w:t>R.</w:t>
      </w:r>
      <w:r w:rsidRPr="000A2698">
        <w:rPr>
          <w:lang w:val="en-US"/>
        </w:rPr>
        <w:t xml:space="preserve"> Schmid, </w:t>
      </w:r>
      <w:r>
        <w:rPr>
          <w:lang w:val="en-US"/>
        </w:rPr>
        <w:t>J.E.</w:t>
      </w:r>
      <w:r w:rsidRPr="000A2698">
        <w:rPr>
          <w:lang w:val="en-US"/>
        </w:rPr>
        <w:t xml:space="preserve"> Hustad, 2011</w:t>
      </w:r>
      <w:r>
        <w:rPr>
          <w:lang w:val="en-US"/>
        </w:rPr>
        <w:t>,</w:t>
      </w:r>
      <w:r w:rsidRPr="000A2698">
        <w:rPr>
          <w:lang w:val="en-US"/>
        </w:rPr>
        <w:t xml:space="preserve"> Experimental studies and modeling of a fixed bed reactor for Fischer–Tropsch synthesis using biosyngas</w:t>
      </w:r>
      <w:r>
        <w:rPr>
          <w:lang w:val="en-US"/>
        </w:rPr>
        <w:t>,</w:t>
      </w:r>
      <w:r w:rsidRPr="000A2698">
        <w:rPr>
          <w:lang w:val="en-US"/>
        </w:rPr>
        <w:t xml:space="preserve"> Fuel processing technology, 92</w:t>
      </w:r>
      <w:r>
        <w:rPr>
          <w:lang w:val="en-US"/>
        </w:rPr>
        <w:t xml:space="preserve">, </w:t>
      </w:r>
      <w:r w:rsidRPr="000A2698">
        <w:rPr>
          <w:lang w:val="en-US"/>
        </w:rPr>
        <w:t>5, 893-907.</w:t>
      </w:r>
    </w:p>
    <w:p w14:paraId="486E7D6A" w14:textId="36E72ACD" w:rsidR="00243ECA" w:rsidRDefault="00243ECA" w:rsidP="009017CA">
      <w:pPr>
        <w:pStyle w:val="Els-referenceno-number"/>
        <w:jc w:val="both"/>
        <w:rPr>
          <w:lang w:val="en-US"/>
        </w:rPr>
      </w:pPr>
      <w:r>
        <w:rPr>
          <w:lang w:val="en-US"/>
        </w:rPr>
        <w:t xml:space="preserve">P. </w:t>
      </w:r>
      <w:r w:rsidRPr="00DB352B">
        <w:rPr>
          <w:lang w:val="en-US"/>
        </w:rPr>
        <w:t>Kaiser,</w:t>
      </w:r>
      <w:r>
        <w:rPr>
          <w:lang w:val="en-US"/>
        </w:rPr>
        <w:t xml:space="preserve"> F.</w:t>
      </w:r>
      <w:r w:rsidRPr="00DB352B">
        <w:rPr>
          <w:lang w:val="en-US"/>
        </w:rPr>
        <w:t xml:space="preserve"> Pöhlmann, </w:t>
      </w:r>
      <w:r>
        <w:rPr>
          <w:lang w:val="en-US"/>
        </w:rPr>
        <w:t>A.</w:t>
      </w:r>
      <w:r w:rsidRPr="00DB352B">
        <w:rPr>
          <w:lang w:val="en-US"/>
        </w:rPr>
        <w:t xml:space="preserve"> Jess, 2014</w:t>
      </w:r>
      <w:r>
        <w:rPr>
          <w:lang w:val="en-US"/>
        </w:rPr>
        <w:t>,</w:t>
      </w:r>
      <w:r w:rsidRPr="00DB352B">
        <w:rPr>
          <w:lang w:val="en-US"/>
        </w:rPr>
        <w:t xml:space="preserve"> Intrinsic and Effective Kinetics of Cobalt‐Catalyzed Fischer‐Tropsch Synthesis in View of a Power‐to‐Liquid Process Based on Renewable Energy</w:t>
      </w:r>
      <w:r>
        <w:rPr>
          <w:lang w:val="en-US"/>
        </w:rPr>
        <w:t>,</w:t>
      </w:r>
      <w:r w:rsidRPr="00DB352B">
        <w:rPr>
          <w:lang w:val="en-US"/>
        </w:rPr>
        <w:t xml:space="preserve"> Chemical Engineering &amp; Technology, 37,</w:t>
      </w:r>
      <w:r>
        <w:rPr>
          <w:lang w:val="en-US"/>
        </w:rPr>
        <w:t xml:space="preserve"> 6,</w:t>
      </w:r>
      <w:r w:rsidRPr="00DB352B">
        <w:rPr>
          <w:lang w:val="en-US"/>
        </w:rPr>
        <w:t xml:space="preserve"> 964-972.</w:t>
      </w:r>
    </w:p>
    <w:p w14:paraId="5D61B969" w14:textId="00002336" w:rsidR="00D43314" w:rsidRDefault="00D43314" w:rsidP="009017CA">
      <w:pPr>
        <w:pStyle w:val="Els-referenceno-number"/>
        <w:jc w:val="both"/>
        <w:rPr>
          <w:lang w:val="en-US"/>
        </w:rPr>
      </w:pPr>
      <w:r>
        <w:rPr>
          <w:lang w:val="en-US"/>
        </w:rPr>
        <w:t xml:space="preserve">R. L. </w:t>
      </w:r>
      <w:r w:rsidRPr="00D43314">
        <w:rPr>
          <w:lang w:val="en-US"/>
        </w:rPr>
        <w:t xml:space="preserve">Espinoza, </w:t>
      </w:r>
      <w:r>
        <w:rPr>
          <w:lang w:val="en-US"/>
        </w:rPr>
        <w:t xml:space="preserve">A. P. </w:t>
      </w:r>
      <w:r w:rsidRPr="00D43314">
        <w:rPr>
          <w:lang w:val="en-US"/>
        </w:rPr>
        <w:t>Steynberg,</w:t>
      </w:r>
      <w:r>
        <w:rPr>
          <w:lang w:val="en-US"/>
        </w:rPr>
        <w:t xml:space="preserve"> B.</w:t>
      </w:r>
      <w:r w:rsidRPr="00D43314">
        <w:rPr>
          <w:lang w:val="en-US"/>
        </w:rPr>
        <w:t xml:space="preserve"> Jager, </w:t>
      </w:r>
      <w:r>
        <w:rPr>
          <w:lang w:val="en-US"/>
        </w:rPr>
        <w:t>A. C.</w:t>
      </w:r>
      <w:r w:rsidRPr="00D43314">
        <w:rPr>
          <w:lang w:val="en-US"/>
        </w:rPr>
        <w:t xml:space="preserve"> Vosloo, 1999</w:t>
      </w:r>
      <w:r>
        <w:rPr>
          <w:lang w:val="en-US"/>
        </w:rPr>
        <w:t>,</w:t>
      </w:r>
      <w:r w:rsidRPr="00D43314">
        <w:rPr>
          <w:lang w:val="en-US"/>
        </w:rPr>
        <w:t xml:space="preserve"> Low temperature Fischer–Tropsch synthesis from a Sasol perspective</w:t>
      </w:r>
      <w:r>
        <w:rPr>
          <w:lang w:val="en-US"/>
        </w:rPr>
        <w:t>,</w:t>
      </w:r>
      <w:r w:rsidRPr="00D43314">
        <w:rPr>
          <w:lang w:val="en-US"/>
        </w:rPr>
        <w:t xml:space="preserve"> Applied Catalysis A: General, 186</w:t>
      </w:r>
      <w:r>
        <w:rPr>
          <w:lang w:val="en-US"/>
        </w:rPr>
        <w:t xml:space="preserve">, </w:t>
      </w:r>
      <w:r w:rsidRPr="00D43314">
        <w:rPr>
          <w:lang w:val="en-US"/>
        </w:rPr>
        <w:t>1-2, 13-26.</w:t>
      </w:r>
    </w:p>
    <w:p w14:paraId="20537715" w14:textId="724B91ED" w:rsidR="009017CA" w:rsidRDefault="009017CA" w:rsidP="009017CA">
      <w:pPr>
        <w:pStyle w:val="Els-referenceno-number"/>
        <w:jc w:val="both"/>
        <w:rPr>
          <w:lang w:val="en-US"/>
        </w:rPr>
      </w:pPr>
      <w:r>
        <w:rPr>
          <w:lang w:val="en-US"/>
        </w:rPr>
        <w:t xml:space="preserve">T. S. </w:t>
      </w:r>
      <w:r w:rsidRPr="009017CA">
        <w:rPr>
          <w:lang w:val="en-US"/>
        </w:rPr>
        <w:t>Lee,</w:t>
      </w:r>
      <w:r>
        <w:rPr>
          <w:lang w:val="en-US"/>
        </w:rPr>
        <w:t xml:space="preserve"> J. N.</w:t>
      </w:r>
      <w:r w:rsidRPr="009017CA">
        <w:rPr>
          <w:lang w:val="en-US"/>
        </w:rPr>
        <w:t xml:space="preserve"> Chung, 2012</w:t>
      </w:r>
      <w:r>
        <w:rPr>
          <w:lang w:val="en-US"/>
        </w:rPr>
        <w:t>,</w:t>
      </w:r>
      <w:r w:rsidRPr="009017CA">
        <w:rPr>
          <w:lang w:val="en-US"/>
        </w:rPr>
        <w:t xml:space="preserve"> Mathematical modeling and numerical simulation of a Fischer–Tropsch packed bed reactor and its thermal management for liquid hydrocarbon fuel production using biomass syngas</w:t>
      </w:r>
      <w:r>
        <w:rPr>
          <w:lang w:val="en-US"/>
        </w:rPr>
        <w:t>,</w:t>
      </w:r>
      <w:r w:rsidRPr="009017CA">
        <w:rPr>
          <w:lang w:val="en-US"/>
        </w:rPr>
        <w:t xml:space="preserve"> Energy &amp; Fuels, 26</w:t>
      </w:r>
      <w:r>
        <w:rPr>
          <w:lang w:val="en-US"/>
        </w:rPr>
        <w:t xml:space="preserve">, </w:t>
      </w:r>
      <w:r w:rsidRPr="009017CA">
        <w:rPr>
          <w:lang w:val="en-US"/>
        </w:rPr>
        <w:t>2, 1363-1379.</w:t>
      </w:r>
    </w:p>
    <w:p w14:paraId="51CE2858" w14:textId="77777777" w:rsidR="00243ECA" w:rsidRDefault="00243ECA" w:rsidP="009017CA">
      <w:pPr>
        <w:pStyle w:val="Els-referenceno-number"/>
        <w:jc w:val="both"/>
        <w:rPr>
          <w:lang w:val="en-US"/>
        </w:rPr>
      </w:pPr>
      <w:r>
        <w:rPr>
          <w:lang w:val="en-US"/>
        </w:rPr>
        <w:t xml:space="preserve">U. </w:t>
      </w:r>
      <w:r w:rsidRPr="000A2698">
        <w:rPr>
          <w:lang w:val="en-US"/>
        </w:rPr>
        <w:t xml:space="preserve">Pandey, </w:t>
      </w:r>
      <w:r>
        <w:rPr>
          <w:lang w:val="en-US"/>
        </w:rPr>
        <w:t>A.</w:t>
      </w:r>
      <w:r w:rsidRPr="000A2698">
        <w:rPr>
          <w:lang w:val="en-US"/>
        </w:rPr>
        <w:t xml:space="preserve"> Runningen, </w:t>
      </w:r>
      <w:r>
        <w:rPr>
          <w:lang w:val="en-US"/>
        </w:rPr>
        <w:t>L.</w:t>
      </w:r>
      <w:r w:rsidRPr="000A2698">
        <w:rPr>
          <w:lang w:val="en-US"/>
        </w:rPr>
        <w:t xml:space="preserve"> Gavrilović, </w:t>
      </w:r>
      <w:r>
        <w:rPr>
          <w:lang w:val="en-US"/>
        </w:rPr>
        <w:t>E.A.</w:t>
      </w:r>
      <w:r w:rsidRPr="000A2698">
        <w:rPr>
          <w:lang w:val="en-US"/>
        </w:rPr>
        <w:t xml:space="preserve"> Jørgensen, </w:t>
      </w:r>
      <w:r>
        <w:rPr>
          <w:lang w:val="en-US"/>
        </w:rPr>
        <w:t>K.R.</w:t>
      </w:r>
      <w:r w:rsidRPr="000A2698">
        <w:rPr>
          <w:lang w:val="en-US"/>
        </w:rPr>
        <w:t xml:space="preserve"> Putta, </w:t>
      </w:r>
      <w:r>
        <w:rPr>
          <w:lang w:val="en-US"/>
        </w:rPr>
        <w:t>K.R.</w:t>
      </w:r>
      <w:r w:rsidRPr="000A2698">
        <w:rPr>
          <w:lang w:val="en-US"/>
        </w:rPr>
        <w:t xml:space="preserve"> Rout, </w:t>
      </w:r>
      <w:r>
        <w:rPr>
          <w:lang w:val="en-US"/>
        </w:rPr>
        <w:t>E.</w:t>
      </w:r>
      <w:r w:rsidRPr="000A2698">
        <w:rPr>
          <w:lang w:val="en-US"/>
        </w:rPr>
        <w:t xml:space="preserve"> Rytter, </w:t>
      </w:r>
      <w:r>
        <w:rPr>
          <w:lang w:val="en-US"/>
        </w:rPr>
        <w:t>E.A.</w:t>
      </w:r>
      <w:r w:rsidRPr="000A2698">
        <w:rPr>
          <w:lang w:val="en-US"/>
        </w:rPr>
        <w:t xml:space="preserve"> Blekkan, </w:t>
      </w:r>
      <w:r>
        <w:rPr>
          <w:lang w:val="en-US"/>
        </w:rPr>
        <w:t>M.</w:t>
      </w:r>
      <w:r w:rsidRPr="000A2698">
        <w:rPr>
          <w:lang w:val="en-US"/>
        </w:rPr>
        <w:t xml:space="preserve"> Hillestad, 2021</w:t>
      </w:r>
      <w:r>
        <w:rPr>
          <w:lang w:val="en-US"/>
        </w:rPr>
        <w:t>,</w:t>
      </w:r>
      <w:r w:rsidRPr="000A2698">
        <w:rPr>
          <w:lang w:val="en-US"/>
        </w:rPr>
        <w:t xml:space="preserve"> Modeling Fischer–Tropsch kinetics and product distribution over a cobalt catalyst</w:t>
      </w:r>
      <w:r>
        <w:rPr>
          <w:lang w:val="en-US"/>
        </w:rPr>
        <w:t>,</w:t>
      </w:r>
      <w:r w:rsidRPr="000A2698">
        <w:rPr>
          <w:lang w:val="en-US"/>
        </w:rPr>
        <w:t xml:space="preserve"> AIChE Journal, 67</w:t>
      </w:r>
      <w:r>
        <w:rPr>
          <w:lang w:val="en-US"/>
        </w:rPr>
        <w:t xml:space="preserve">, </w:t>
      </w:r>
      <w:r w:rsidRPr="000A2698">
        <w:rPr>
          <w:lang w:val="en-US"/>
        </w:rPr>
        <w:t>7, e17234.</w:t>
      </w:r>
    </w:p>
    <w:p w14:paraId="17AA2062" w14:textId="77777777" w:rsidR="00243ECA" w:rsidRDefault="00243ECA" w:rsidP="009017CA">
      <w:pPr>
        <w:pStyle w:val="Els-referenceno-number"/>
        <w:jc w:val="both"/>
        <w:rPr>
          <w:lang w:val="en-US"/>
        </w:rPr>
      </w:pPr>
      <w:r w:rsidRPr="000A2698">
        <w:rPr>
          <w:lang w:val="en-US"/>
        </w:rPr>
        <w:t>Z. Karimi, M. Rahmani, M. Moqadam, 2012, A study on vapour-liquid equilibria in Fischer-Tropsch synthesis</w:t>
      </w:r>
      <w:r>
        <w:rPr>
          <w:lang w:val="en-US"/>
        </w:rPr>
        <w:t>,</w:t>
      </w:r>
      <w:r w:rsidRPr="000A2698">
        <w:rPr>
          <w:lang w:val="en-US"/>
        </w:rPr>
        <w:t xml:space="preserve"> Procedia Engineering, 42, 25-33.</w:t>
      </w:r>
    </w:p>
    <w:sectPr w:rsidR="00243ECA"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5EAE" w14:textId="77777777" w:rsidR="00737666" w:rsidRDefault="00737666">
      <w:r>
        <w:separator/>
      </w:r>
    </w:p>
  </w:endnote>
  <w:endnote w:type="continuationSeparator" w:id="0">
    <w:p w14:paraId="745E140E" w14:textId="77777777" w:rsidR="00737666" w:rsidRDefault="0073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morant Medium">
    <w:altName w:val="Calibri"/>
    <w:charset w:val="00"/>
    <w:family w:val="auto"/>
    <w:pitch w:val="variable"/>
    <w:sig w:usb0="20000207" w:usb1="00000001"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4CD1" w14:textId="77777777" w:rsidR="00737666" w:rsidRDefault="00737666">
      <w:r>
        <w:separator/>
      </w:r>
    </w:p>
  </w:footnote>
  <w:footnote w:type="continuationSeparator" w:id="0">
    <w:p w14:paraId="05F2B304" w14:textId="77777777" w:rsidR="00737666" w:rsidRDefault="0073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0892C4C" w:rsidR="00DD3D9E" w:rsidRDefault="00DD3D9E">
    <w:pPr>
      <w:pStyle w:val="Cabealho"/>
      <w:tabs>
        <w:tab w:val="clear" w:pos="7200"/>
        <w:tab w:val="right" w:pos="7088"/>
      </w:tabs>
    </w:pPr>
    <w:r>
      <w:rPr>
        <w:rStyle w:val="Nmerodepgina"/>
      </w:rPr>
      <w:tab/>
    </w:r>
    <w:r>
      <w:rPr>
        <w:rStyle w:val="Nmerodepgina"/>
        <w:i/>
      </w:rPr>
      <w:tab/>
    </w:r>
    <w:r w:rsidR="007D37C3">
      <w:rPr>
        <w:i/>
      </w:rPr>
      <w:fldChar w:fldCharType="begin"/>
    </w:r>
    <w:r w:rsidR="007D37C3">
      <w:rPr>
        <w:i/>
      </w:rPr>
      <w:instrText xml:space="preserve"> MACROBUTTON  AbrirHiperlink E. Terziotti Neto et al. </w:instrText>
    </w:r>
    <w:r w:rsidR="007D37C3">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0794646" w:rsidR="00DD3D9E" w:rsidRDefault="00D81E73" w:rsidP="00D81E73">
    <w:pPr>
      <w:pStyle w:val="Cabealho"/>
      <w:tabs>
        <w:tab w:val="clear" w:pos="7200"/>
        <w:tab w:val="right" w:pos="7088"/>
      </w:tabs>
      <w:rPr>
        <w:sz w:val="24"/>
      </w:rPr>
    </w:pPr>
    <w:r w:rsidRPr="00D81E73">
      <w:rPr>
        <w:i/>
      </w:rPr>
      <w:t>Modeling of the dynamic behaviour of Fischer-Tropsch fixed-bed reactors: a pseudohomogeneous approach</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A019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15B1C"/>
    <w:rsid w:val="000269A8"/>
    <w:rsid w:val="00031A31"/>
    <w:rsid w:val="000635B2"/>
    <w:rsid w:val="00067D51"/>
    <w:rsid w:val="000723C2"/>
    <w:rsid w:val="000732CE"/>
    <w:rsid w:val="000A2698"/>
    <w:rsid w:val="000B459F"/>
    <w:rsid w:val="000B4C16"/>
    <w:rsid w:val="000B6FA7"/>
    <w:rsid w:val="000C252D"/>
    <w:rsid w:val="000C3C1C"/>
    <w:rsid w:val="000D3D9B"/>
    <w:rsid w:val="000E23C5"/>
    <w:rsid w:val="000F272E"/>
    <w:rsid w:val="00106811"/>
    <w:rsid w:val="00111764"/>
    <w:rsid w:val="00114F38"/>
    <w:rsid w:val="00126E30"/>
    <w:rsid w:val="00136199"/>
    <w:rsid w:val="00152DBE"/>
    <w:rsid w:val="0016032F"/>
    <w:rsid w:val="00165309"/>
    <w:rsid w:val="00166B2A"/>
    <w:rsid w:val="00173EEB"/>
    <w:rsid w:val="001879F6"/>
    <w:rsid w:val="00194687"/>
    <w:rsid w:val="001A22F9"/>
    <w:rsid w:val="001B68AC"/>
    <w:rsid w:val="001C0148"/>
    <w:rsid w:val="001C0331"/>
    <w:rsid w:val="001C757E"/>
    <w:rsid w:val="001F3C43"/>
    <w:rsid w:val="0020390F"/>
    <w:rsid w:val="00207E0E"/>
    <w:rsid w:val="00215784"/>
    <w:rsid w:val="002366F4"/>
    <w:rsid w:val="00243ECA"/>
    <w:rsid w:val="002441A8"/>
    <w:rsid w:val="00260081"/>
    <w:rsid w:val="00264926"/>
    <w:rsid w:val="00265682"/>
    <w:rsid w:val="00285AED"/>
    <w:rsid w:val="002919A1"/>
    <w:rsid w:val="002B725D"/>
    <w:rsid w:val="002E5DA3"/>
    <w:rsid w:val="002F062E"/>
    <w:rsid w:val="003253CA"/>
    <w:rsid w:val="003316A8"/>
    <w:rsid w:val="00331C23"/>
    <w:rsid w:val="0036483E"/>
    <w:rsid w:val="00377035"/>
    <w:rsid w:val="0038580C"/>
    <w:rsid w:val="0039144F"/>
    <w:rsid w:val="003D1582"/>
    <w:rsid w:val="003D7E4C"/>
    <w:rsid w:val="003E41C2"/>
    <w:rsid w:val="003F678F"/>
    <w:rsid w:val="00402998"/>
    <w:rsid w:val="004071C1"/>
    <w:rsid w:val="00417F21"/>
    <w:rsid w:val="00421058"/>
    <w:rsid w:val="004233D2"/>
    <w:rsid w:val="004347A8"/>
    <w:rsid w:val="00442C89"/>
    <w:rsid w:val="00444A0E"/>
    <w:rsid w:val="004455C1"/>
    <w:rsid w:val="00451F3D"/>
    <w:rsid w:val="00464B2A"/>
    <w:rsid w:val="004910BD"/>
    <w:rsid w:val="0049726E"/>
    <w:rsid w:val="0049772C"/>
    <w:rsid w:val="004A12D6"/>
    <w:rsid w:val="004A4016"/>
    <w:rsid w:val="004A6819"/>
    <w:rsid w:val="004B4664"/>
    <w:rsid w:val="004E56E0"/>
    <w:rsid w:val="00552EEB"/>
    <w:rsid w:val="0058282B"/>
    <w:rsid w:val="005928FC"/>
    <w:rsid w:val="005B1143"/>
    <w:rsid w:val="005C33E0"/>
    <w:rsid w:val="005C6297"/>
    <w:rsid w:val="005E04A2"/>
    <w:rsid w:val="005F027A"/>
    <w:rsid w:val="00605E30"/>
    <w:rsid w:val="00624EEE"/>
    <w:rsid w:val="00647537"/>
    <w:rsid w:val="00650964"/>
    <w:rsid w:val="00655184"/>
    <w:rsid w:val="00681C84"/>
    <w:rsid w:val="006A69BF"/>
    <w:rsid w:val="006B2FDD"/>
    <w:rsid w:val="006B3340"/>
    <w:rsid w:val="006C5756"/>
    <w:rsid w:val="006D52AE"/>
    <w:rsid w:val="006E1789"/>
    <w:rsid w:val="006F6A24"/>
    <w:rsid w:val="00711DF4"/>
    <w:rsid w:val="00731BFF"/>
    <w:rsid w:val="00732E15"/>
    <w:rsid w:val="00737666"/>
    <w:rsid w:val="00740808"/>
    <w:rsid w:val="00752D95"/>
    <w:rsid w:val="00760EA5"/>
    <w:rsid w:val="00787C3D"/>
    <w:rsid w:val="007A0AEC"/>
    <w:rsid w:val="007A1A2E"/>
    <w:rsid w:val="007C1447"/>
    <w:rsid w:val="007D37C3"/>
    <w:rsid w:val="007D70A1"/>
    <w:rsid w:val="007F27AD"/>
    <w:rsid w:val="00800ED2"/>
    <w:rsid w:val="00803459"/>
    <w:rsid w:val="00804384"/>
    <w:rsid w:val="008132E8"/>
    <w:rsid w:val="00823407"/>
    <w:rsid w:val="00856172"/>
    <w:rsid w:val="008678F9"/>
    <w:rsid w:val="008733D3"/>
    <w:rsid w:val="00893802"/>
    <w:rsid w:val="008A579D"/>
    <w:rsid w:val="008B0184"/>
    <w:rsid w:val="008B577C"/>
    <w:rsid w:val="008C0BF1"/>
    <w:rsid w:val="008C1BE2"/>
    <w:rsid w:val="008C5D02"/>
    <w:rsid w:val="008D2649"/>
    <w:rsid w:val="008E1940"/>
    <w:rsid w:val="008E1E3B"/>
    <w:rsid w:val="008E34FB"/>
    <w:rsid w:val="009017CA"/>
    <w:rsid w:val="00904FB1"/>
    <w:rsid w:val="0090568D"/>
    <w:rsid w:val="009125C9"/>
    <w:rsid w:val="00913879"/>
    <w:rsid w:val="00915DFD"/>
    <w:rsid w:val="00917661"/>
    <w:rsid w:val="00922F93"/>
    <w:rsid w:val="0093250A"/>
    <w:rsid w:val="0097071D"/>
    <w:rsid w:val="00970E5D"/>
    <w:rsid w:val="0097701C"/>
    <w:rsid w:val="00980A65"/>
    <w:rsid w:val="00981EE8"/>
    <w:rsid w:val="00984819"/>
    <w:rsid w:val="00990D48"/>
    <w:rsid w:val="009B7EF8"/>
    <w:rsid w:val="009C6803"/>
    <w:rsid w:val="009D5F05"/>
    <w:rsid w:val="009E12AC"/>
    <w:rsid w:val="009F1C54"/>
    <w:rsid w:val="00A25E70"/>
    <w:rsid w:val="00A27F94"/>
    <w:rsid w:val="00A33765"/>
    <w:rsid w:val="00A42FA6"/>
    <w:rsid w:val="00A518F4"/>
    <w:rsid w:val="00A56B88"/>
    <w:rsid w:val="00A63269"/>
    <w:rsid w:val="00A829C8"/>
    <w:rsid w:val="00A86DFB"/>
    <w:rsid w:val="00A92377"/>
    <w:rsid w:val="00A952F0"/>
    <w:rsid w:val="00AA30AA"/>
    <w:rsid w:val="00AB1D25"/>
    <w:rsid w:val="00AB29ED"/>
    <w:rsid w:val="00AC35C2"/>
    <w:rsid w:val="00AD01F5"/>
    <w:rsid w:val="00AD347D"/>
    <w:rsid w:val="00AE2EC6"/>
    <w:rsid w:val="00AE4BD8"/>
    <w:rsid w:val="00AF0A7C"/>
    <w:rsid w:val="00AF407E"/>
    <w:rsid w:val="00B031E3"/>
    <w:rsid w:val="00B069E0"/>
    <w:rsid w:val="00B1162A"/>
    <w:rsid w:val="00B279E4"/>
    <w:rsid w:val="00B34550"/>
    <w:rsid w:val="00B3771F"/>
    <w:rsid w:val="00B4388F"/>
    <w:rsid w:val="00B63237"/>
    <w:rsid w:val="00B649DF"/>
    <w:rsid w:val="00B83E21"/>
    <w:rsid w:val="00B87345"/>
    <w:rsid w:val="00B87F31"/>
    <w:rsid w:val="00B92F79"/>
    <w:rsid w:val="00B96BDD"/>
    <w:rsid w:val="00BA7CA6"/>
    <w:rsid w:val="00BE3169"/>
    <w:rsid w:val="00BE735C"/>
    <w:rsid w:val="00C13866"/>
    <w:rsid w:val="00C32173"/>
    <w:rsid w:val="00C503A8"/>
    <w:rsid w:val="00C62F62"/>
    <w:rsid w:val="00C64B66"/>
    <w:rsid w:val="00C764C9"/>
    <w:rsid w:val="00C960DC"/>
    <w:rsid w:val="00C97175"/>
    <w:rsid w:val="00CD129D"/>
    <w:rsid w:val="00CD36A2"/>
    <w:rsid w:val="00CE6A80"/>
    <w:rsid w:val="00CE7B49"/>
    <w:rsid w:val="00CF0DE9"/>
    <w:rsid w:val="00CF40C0"/>
    <w:rsid w:val="00CF62CB"/>
    <w:rsid w:val="00D02205"/>
    <w:rsid w:val="00D02C75"/>
    <w:rsid w:val="00D07EC8"/>
    <w:rsid w:val="00D10E22"/>
    <w:rsid w:val="00D13D2C"/>
    <w:rsid w:val="00D17D91"/>
    <w:rsid w:val="00D43314"/>
    <w:rsid w:val="00D65947"/>
    <w:rsid w:val="00D7148B"/>
    <w:rsid w:val="00D7489C"/>
    <w:rsid w:val="00D81E73"/>
    <w:rsid w:val="00D82550"/>
    <w:rsid w:val="00D87F2C"/>
    <w:rsid w:val="00D95285"/>
    <w:rsid w:val="00DB352B"/>
    <w:rsid w:val="00DC2F94"/>
    <w:rsid w:val="00DC54A2"/>
    <w:rsid w:val="00DD3D9E"/>
    <w:rsid w:val="00DD7908"/>
    <w:rsid w:val="00DF76FB"/>
    <w:rsid w:val="00E101CD"/>
    <w:rsid w:val="00E12471"/>
    <w:rsid w:val="00E24AC6"/>
    <w:rsid w:val="00E457F9"/>
    <w:rsid w:val="00E70503"/>
    <w:rsid w:val="00E82297"/>
    <w:rsid w:val="00E83626"/>
    <w:rsid w:val="00EA01DD"/>
    <w:rsid w:val="00EC33C4"/>
    <w:rsid w:val="00EC7577"/>
    <w:rsid w:val="00ED39A0"/>
    <w:rsid w:val="00ED3B5A"/>
    <w:rsid w:val="00EF39FD"/>
    <w:rsid w:val="00EF798B"/>
    <w:rsid w:val="00F06842"/>
    <w:rsid w:val="00F107FD"/>
    <w:rsid w:val="00F46764"/>
    <w:rsid w:val="00F6574F"/>
    <w:rsid w:val="00F8031C"/>
    <w:rsid w:val="00F85225"/>
    <w:rsid w:val="00FB64A8"/>
    <w:rsid w:val="00FE28AC"/>
    <w:rsid w:val="00FE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687"/>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defim">
    <w:name w:val="endnote reference"/>
    <w:basedOn w:val="Fontepargpadro"/>
    <w:semiHidden/>
    <w:rsid w:val="008B0184"/>
    <w:rPr>
      <w:vertAlign w:val="superscript"/>
    </w:rPr>
  </w:style>
  <w:style w:type="paragraph" w:styleId="Cabealho">
    <w:name w:val="header"/>
    <w:rsid w:val="008B0184"/>
    <w:pPr>
      <w:tabs>
        <w:tab w:val="center" w:pos="3600"/>
        <w:tab w:val="right" w:pos="7200"/>
      </w:tabs>
      <w:spacing w:line="200" w:lineRule="atLeast"/>
    </w:pPr>
    <w:rPr>
      <w:noProof/>
      <w:lang w:eastAsia="en-US"/>
    </w:rPr>
  </w:style>
  <w:style w:type="paragraph" w:styleId="Rodap">
    <w:name w:val="footer"/>
    <w:basedOn w:val="Cabealho"/>
    <w:rsid w:val="008B0184"/>
  </w:style>
  <w:style w:type="character" w:styleId="Refdenotaderodap">
    <w:name w:val="footnote reference"/>
    <w:semiHidden/>
    <w:rsid w:val="008B0184"/>
    <w:rPr>
      <w:vertAlign w:val="superscript"/>
    </w:rPr>
  </w:style>
  <w:style w:type="paragraph" w:styleId="Textodenotaderodap">
    <w:name w:val="footnote text"/>
    <w:basedOn w:val="Normal"/>
    <w:semiHidden/>
    <w:rsid w:val="008B0184"/>
    <w:rPr>
      <w:rFonts w:ascii="Univers" w:hAnsi="Univers"/>
    </w:rPr>
  </w:style>
  <w:style w:type="character" w:styleId="Hyperlink">
    <w:name w:val="Hyperlink"/>
    <w:basedOn w:val="Fontepargpadro"/>
    <w:rsid w:val="008B0184"/>
    <w:rPr>
      <w:color w:val="0000FF"/>
      <w:u w:val="single"/>
    </w:rPr>
  </w:style>
  <w:style w:type="character" w:customStyle="1" w:styleId="MTEquationSection">
    <w:name w:val="MTEquationSection"/>
    <w:basedOn w:val="Fontepargpadro"/>
    <w:rsid w:val="008B0184"/>
    <w:rPr>
      <w:vanish/>
      <w:color w:val="FF0000"/>
    </w:rPr>
  </w:style>
  <w:style w:type="character" w:styleId="Nmerodepgina">
    <w:name w:val="page number"/>
    <w:basedOn w:val="Fontepargpadr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ontepargpadro"/>
    <w:rsid w:val="008B0184"/>
    <w:rPr>
      <w:sz w:val="18"/>
      <w:lang w:val="en-US" w:eastAsia="en-US" w:bidi="ar-SA"/>
    </w:rPr>
  </w:style>
  <w:style w:type="character" w:styleId="Refdecomentrio">
    <w:name w:val="annotation reference"/>
    <w:basedOn w:val="Fontepargpadro"/>
    <w:semiHidden/>
    <w:rsid w:val="008B0184"/>
    <w:rPr>
      <w:sz w:val="16"/>
      <w:szCs w:val="16"/>
    </w:rPr>
  </w:style>
  <w:style w:type="paragraph" w:styleId="Textodecomentrio">
    <w:name w:val="annotation text"/>
    <w:basedOn w:val="Normal"/>
    <w:semiHidden/>
    <w:rsid w:val="008B0184"/>
  </w:style>
  <w:style w:type="paragraph" w:styleId="Assuntodocomentrio">
    <w:name w:val="annotation subject"/>
    <w:basedOn w:val="Textodecomentrio"/>
    <w:next w:val="Textodecomentrio"/>
    <w:semiHidden/>
    <w:rsid w:val="008B0184"/>
    <w:rPr>
      <w:b/>
      <w:bCs/>
    </w:rPr>
  </w:style>
  <w:style w:type="paragraph" w:styleId="Textodebal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ontepargpadro"/>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PSEAuthorList">
    <w:name w:val="PSE_AuthorList"/>
    <w:basedOn w:val="Normal"/>
    <w:qFormat/>
    <w:rsid w:val="005C33E0"/>
    <w:pPr>
      <w:suppressAutoHyphens/>
      <w:autoSpaceDE w:val="0"/>
      <w:autoSpaceDN w:val="0"/>
      <w:adjustRightInd w:val="0"/>
      <w:spacing w:before="240" w:line="264" w:lineRule="auto"/>
    </w:pPr>
    <w:rPr>
      <w:rFonts w:ascii="Inter" w:eastAsiaTheme="minorHAnsi" w:hAnsi="Inter" w:cs="Cormorant Medium"/>
      <w:b/>
      <w:color w:val="00509E"/>
      <w:lang w:val="en-CA"/>
      <w14:numForm w14:val="lining"/>
    </w:rPr>
  </w:style>
  <w:style w:type="paragraph" w:customStyle="1" w:styleId="PSEAuthorAffiliation">
    <w:name w:val="PSE_AuthorAffiliation"/>
    <w:basedOn w:val="Normal"/>
    <w:qFormat/>
    <w:rsid w:val="002919A1"/>
    <w:pPr>
      <w:autoSpaceDE w:val="0"/>
      <w:autoSpaceDN w:val="0"/>
      <w:adjustRightInd w:val="0"/>
      <w:spacing w:before="120" w:line="264" w:lineRule="auto"/>
      <w:contextualSpacing/>
    </w:pPr>
    <w:rPr>
      <w:rFonts w:ascii="Inter" w:eastAsiaTheme="minorHAnsi" w:hAnsi="Inter" w:cs="Cormorant Medium"/>
      <w:color w:val="000000"/>
      <w:sz w:val="16"/>
      <w:szCs w:val="18"/>
      <w:lang w:val="en-CA"/>
      <w14:numForm w14:val="lining"/>
    </w:rPr>
  </w:style>
  <w:style w:type="character" w:styleId="TextodoEspaoReservado">
    <w:name w:val="Placeholder Text"/>
    <w:basedOn w:val="Fontepargpadro"/>
    <w:uiPriority w:val="99"/>
    <w:semiHidden/>
    <w:rsid w:val="002F062E"/>
    <w:rPr>
      <w:color w:val="808080"/>
    </w:rPr>
  </w:style>
  <w:style w:type="table" w:styleId="Tabelacomgrade">
    <w:name w:val="Table Grid"/>
    <w:basedOn w:val="Tabelanormal"/>
    <w:rsid w:val="00CD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454470">
      <w:bodyDiv w:val="1"/>
      <w:marLeft w:val="0"/>
      <w:marRight w:val="0"/>
      <w:marTop w:val="0"/>
      <w:marBottom w:val="0"/>
      <w:divBdr>
        <w:top w:val="none" w:sz="0" w:space="0" w:color="auto"/>
        <w:left w:val="none" w:sz="0" w:space="0" w:color="auto"/>
        <w:bottom w:val="none" w:sz="0" w:space="0" w:color="auto"/>
        <w:right w:val="none" w:sz="0" w:space="0" w:color="auto"/>
      </w:divBdr>
    </w:div>
    <w:div w:id="701781289">
      <w:bodyDiv w:val="1"/>
      <w:marLeft w:val="0"/>
      <w:marRight w:val="0"/>
      <w:marTop w:val="0"/>
      <w:marBottom w:val="0"/>
      <w:divBdr>
        <w:top w:val="none" w:sz="0" w:space="0" w:color="auto"/>
        <w:left w:val="none" w:sz="0" w:space="0" w:color="auto"/>
        <w:bottom w:val="none" w:sz="0" w:space="0" w:color="auto"/>
        <w:right w:val="none" w:sz="0" w:space="0" w:color="auto"/>
      </w:divBdr>
    </w:div>
    <w:div w:id="72649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CBEA6-CA81-48D1-A464-0873D9EC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13</TotalTime>
  <Pages>6</Pages>
  <Words>2697</Words>
  <Characters>14567</Characters>
  <Application>Microsoft Office Word</Application>
  <DocSecurity>0</DocSecurity>
  <Lines>121</Lines>
  <Paragraphs>34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Egydio Terziotti</cp:lastModifiedBy>
  <cp:revision>6</cp:revision>
  <cp:lastPrinted>2023-11-21T23:22:00Z</cp:lastPrinted>
  <dcterms:created xsi:type="dcterms:W3CDTF">2023-12-13T14:52:00Z</dcterms:created>
  <dcterms:modified xsi:type="dcterms:W3CDTF">2023-12-18T23:25:00Z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